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lineRule="auto" w:line="276" w:beforeAutospacing="0" w:afterAutospacing="0"/>
        <w:ind w:firstLine="567" w:left="4887"/>
        <w:rPr>
          <w:color w:val="000000"/>
          <w:sz w:val="28"/>
          <w:szCs w:val="28"/>
          <w:lang w:val="uk-UA"/>
        </w:rPr>
      </w:pPr>
      <w:bookmarkStart w:id="0" w:name="n4"/>
      <w:bookmarkEnd w:id="0"/>
      <w:r>
        <w:rPr>
          <w:color w:val="000000"/>
          <w:sz w:val="28"/>
          <w:szCs w:val="28"/>
          <w:lang w:val="uk-UA"/>
        </w:rPr>
        <w:t>ЗАТВЕРДЖЕНО</w:t>
      </w:r>
    </w:p>
    <w:p>
      <w:pPr>
        <w:spacing w:lineRule="auto" w:line="276" w:beforeAutospacing="0" w:afterAutospacing="0"/>
        <w:ind w:firstLine="567" w:left="4887"/>
        <w:rPr>
          <w:color w:val="000000"/>
          <w:sz w:val="28"/>
          <w:szCs w:val="28"/>
          <w:lang w:val="uk-UA"/>
        </w:rPr>
      </w:pPr>
      <w:r>
        <w:rPr>
          <w:color w:val="000000"/>
          <w:sz w:val="28"/>
          <w:szCs w:val="28"/>
          <w:lang w:val="uk-UA"/>
        </w:rPr>
        <w:t>Наказ Міністерства фінансів України</w:t>
      </w:r>
    </w:p>
    <w:p>
      <w:pPr>
        <w:spacing w:lineRule="auto" w:line="276" w:beforeAutospacing="0" w:afterAutospacing="0"/>
        <w:ind w:firstLine="567" w:left="4887"/>
        <w:rPr>
          <w:color w:val="000000"/>
          <w:sz w:val="28"/>
          <w:szCs w:val="28"/>
          <w:lang w:val="uk-UA"/>
        </w:rPr>
      </w:pPr>
      <w:r>
        <w:rPr>
          <w:color w:val="000000"/>
          <w:sz w:val="28"/>
          <w:szCs w:val="28"/>
          <w:lang w:val="uk-UA"/>
        </w:rPr>
        <w:t xml:space="preserve">_____ _________ 2025 року № ____ </w:t>
      </w:r>
    </w:p>
    <w:p>
      <w:pPr>
        <w:pStyle w:val="P12"/>
        <w:ind w:right="3877"/>
        <w:jc w:val="both"/>
        <w:rPr>
          <w:rStyle w:val="C10"/>
          <w:sz w:val="28"/>
          <w:szCs w:val="28"/>
          <w:lang w:val="uk-UA" w:eastAsia="uk"/>
        </w:rPr>
      </w:pPr>
    </w:p>
    <w:p>
      <w:pPr>
        <w:pStyle w:val="P12"/>
        <w:ind w:right="50"/>
        <w:rPr>
          <w:rStyle w:val="C10"/>
          <w:sz w:val="28"/>
          <w:szCs w:val="28"/>
          <w:lang w:val="uk" w:eastAsia="uk"/>
        </w:rPr>
      </w:pPr>
      <w:r>
        <w:rPr>
          <w:rStyle w:val="C10"/>
          <w:sz w:val="28"/>
          <w:szCs w:val="28"/>
          <w:lang w:val="uk" w:eastAsia="uk"/>
        </w:rPr>
        <w:t xml:space="preserve">Зміни </w:t>
      </w:r>
    </w:p>
    <w:p>
      <w:pPr>
        <w:pStyle w:val="P12"/>
        <w:ind w:right="50"/>
        <w:rPr>
          <w:rStyle w:val="C10"/>
          <w:sz w:val="28"/>
          <w:szCs w:val="28"/>
          <w:lang w:val="uk" w:eastAsia="uk"/>
        </w:rPr>
      </w:pPr>
      <w:r>
        <w:rPr>
          <w:rStyle w:val="C10"/>
          <w:sz w:val="28"/>
          <w:szCs w:val="28"/>
          <w:lang w:val="uk" w:eastAsia="uk"/>
        </w:rPr>
        <w:t>до деяких нормативно-правових актів з бухгалтерського обліку</w:t>
      </w:r>
    </w:p>
    <w:p>
      <w:pPr>
        <w:pStyle w:val="P12"/>
        <w:ind w:right="50"/>
        <w:rPr>
          <w:sz w:val="28"/>
          <w:szCs w:val="28"/>
          <w:lang w:val="uk" w:eastAsia="uk"/>
        </w:rPr>
      </w:pPr>
      <w:r>
        <w:rPr>
          <w:rStyle w:val="C10"/>
          <w:sz w:val="28"/>
          <w:szCs w:val="28"/>
          <w:lang w:val="uk" w:eastAsia="uk"/>
        </w:rPr>
        <w:t>в державному секторі</w:t>
      </w:r>
    </w:p>
    <w:p>
      <w:pPr>
        <w:pStyle w:val="P14"/>
        <w:spacing w:after="150" w:beforeAutospacing="0" w:afterAutospacing="0"/>
        <w:ind w:firstLine="567"/>
        <w:rPr>
          <w:sz w:val="28"/>
          <w:szCs w:val="28"/>
          <w:lang w:val="uk" w:eastAsia="uk"/>
        </w:rPr>
      </w:pPr>
      <w:bookmarkStart w:id="1" w:name="n111"/>
      <w:bookmarkEnd w:id="1"/>
      <w:bookmarkStart w:id="2" w:name="n5"/>
      <w:bookmarkEnd w:id="2"/>
    </w:p>
    <w:p>
      <w:pPr>
        <w:pStyle w:val="P14"/>
        <w:numPr>
          <w:ilvl w:val="0"/>
          <w:numId w:val="4"/>
        </w:numPr>
        <w:tabs>
          <w:tab w:val="left" w:pos="993" w:leader="none"/>
        </w:tabs>
        <w:spacing w:after="150" w:beforeAutospacing="0" w:afterAutospacing="0"/>
        <w:ind w:firstLine="567" w:left="0"/>
        <w:rPr>
          <w:sz w:val="28"/>
          <w:szCs w:val="28"/>
          <w:lang w:val="uk" w:eastAsia="uk"/>
        </w:rPr>
      </w:pPr>
      <w:bookmarkStart w:id="3" w:name="n6"/>
      <w:bookmarkEnd w:id="3"/>
      <w:r>
        <w:rPr>
          <w:sz w:val="28"/>
          <w:szCs w:val="28"/>
          <w:lang w:val="uk" w:eastAsia="uk"/>
        </w:rPr>
        <w:t xml:space="preserve">У </w:t>
      </w:r>
      <w:hyperlink xmlns:r="http://schemas.openxmlformats.org/officeDocument/2006/relationships" r:id="R2" w:anchor="n14" w:tgtFrame="_blank">
        <w:r>
          <w:rPr>
            <w:sz w:val="28"/>
            <w:szCs w:val="28"/>
            <w:lang w:val="uk"/>
          </w:rPr>
          <w:t>Плані рахунків бухгалтерського обліку в державному секторі</w:t>
        </w:r>
      </w:hyperlink>
      <w:r>
        <w:rPr>
          <w:sz w:val="28"/>
          <w:szCs w:val="28"/>
          <w:lang w:val="uk" w:eastAsia="uk"/>
        </w:rPr>
        <w:t>, затвердженому наказом Міністерства фінансів України від 31 грудня 2013 року № 1203, зареєстрованому в Міністерстві юстиції України 25 січня 2014 року за № 161/24938:</w:t>
      </w:r>
    </w:p>
    <w:p>
      <w:pPr>
        <w:pStyle w:val="P14"/>
        <w:numPr>
          <w:ilvl w:val="0"/>
          <w:numId w:val="6"/>
        </w:numPr>
        <w:tabs>
          <w:tab w:val="left" w:pos="993" w:leader="none"/>
        </w:tabs>
        <w:ind w:firstLine="567" w:left="0"/>
        <w:rPr>
          <w:sz w:val="28"/>
          <w:szCs w:val="28"/>
          <w:lang w:val="uk" w:eastAsia="uk"/>
        </w:rPr>
      </w:pPr>
      <w:r>
        <w:rPr>
          <w:sz w:val="28"/>
          <w:szCs w:val="28"/>
          <w:lang w:val="uk" w:eastAsia="uk"/>
        </w:rPr>
        <w:t>доповнити пункт 2 новим абзацом такого змісту:</w:t>
      </w:r>
    </w:p>
    <w:p>
      <w:pPr>
        <w:pStyle w:val="P14"/>
        <w:tabs>
          <w:tab w:val="left" w:pos="993" w:leader="none"/>
        </w:tabs>
        <w:spacing w:after="150" w:beforeAutospacing="0" w:afterAutospacing="0"/>
        <w:ind w:firstLine="567"/>
        <w:rPr>
          <w:sz w:val="28"/>
          <w:szCs w:val="28"/>
          <w:lang w:val="uk-UA" w:eastAsia="uk"/>
        </w:rPr>
      </w:pPr>
      <w:r>
        <w:rPr>
          <w:sz w:val="28"/>
          <w:szCs w:val="28"/>
          <w:lang w:val="uk-UA" w:eastAsia="uk"/>
        </w:rPr>
        <w:t xml:space="preserve">«Суб’єкти державного сектору можуть вводити аналітичні рахунки до субрахунків балансових рахунків цього Плану рахунків, зокрема </w:t>
      </w:r>
      <w:bookmarkStart w:id="4" w:name="_Hlk201829440"/>
      <w:r>
        <w:rPr>
          <w:sz w:val="28"/>
          <w:szCs w:val="28"/>
          <w:lang w:val="uk-UA" w:eastAsia="uk"/>
        </w:rPr>
        <w:t xml:space="preserve">для обліку і узагальнення інформації про активи, які внаслідок збройної агресії Російської Федерації пошкоджені, знищені, викрадені або над якими втрачено контроль, </w:t>
      </w:r>
      <w:bookmarkEnd w:id="4"/>
      <w:r>
        <w:rPr>
          <w:sz w:val="28"/>
          <w:szCs w:val="28"/>
          <w:lang w:val="uk-UA" w:eastAsia="uk"/>
        </w:rPr>
        <w:t>(первісна вартість та знос (накопичена амортизація) з урахуванням суми втрат від зменшення корисності, розрахунки із завданих збитків) до прийняття рішення щодо списання таких активів у встановленому законодавством порядку.»;</w:t>
      </w:r>
    </w:p>
    <w:p>
      <w:pPr>
        <w:pStyle w:val="P14"/>
        <w:numPr>
          <w:ilvl w:val="0"/>
          <w:numId w:val="6"/>
        </w:numPr>
        <w:tabs>
          <w:tab w:val="left" w:pos="993" w:leader="none"/>
        </w:tabs>
        <w:spacing w:after="150" w:beforeAutospacing="0" w:afterAutospacing="0"/>
        <w:ind w:firstLine="567" w:left="0"/>
        <w:rPr>
          <w:sz w:val="28"/>
          <w:szCs w:val="28"/>
          <w:lang w:val="uk" w:eastAsia="uk"/>
        </w:rPr>
      </w:pPr>
      <w:r>
        <w:rPr>
          <w:sz w:val="28"/>
          <w:szCs w:val="28"/>
          <w:lang w:val="uk" w:eastAsia="uk"/>
        </w:rPr>
        <w:t>доповнити рахунок 07 «Списані активи» класу 0 «Позабалансові рахунки розпорядників бюджетних коштів та державних цільових фондів» розділу 2 «Позабалансові рахунки» таблиці пункту 3 новим субрахунком такого змісту:</w:t>
      </w:r>
    </w:p>
    <w:p>
      <w:pPr>
        <w:pStyle w:val="P7"/>
        <w:spacing w:before="150" w:after="150" w:beforeAutospacing="0" w:afterAutospacing="0"/>
        <w:rPr>
          <w:lang w:val="uk" w:eastAsia="uk"/>
        </w:rPr>
      </w:pPr>
      <w:r>
        <w:rPr>
          <w:lang w:val="uk" w:eastAsia="uk"/>
        </w:rPr>
        <w:t>«</w:t>
      </w:r>
    </w:p>
    <w:tbl>
      <w:tblPr>
        <w:tblStyle w:val="T2"/>
        <w:tblW w:w="5000" w:type="pct"/>
        <w:jc w:val="center"/>
        <w:tblCellMar>
          <w:top w:w="15" w:type="dxa"/>
          <w:left w:w="15" w:type="dxa"/>
          <w:bottom w:w="15" w:type="dxa"/>
          <w:right w:w="15" w:type="dxa"/>
        </w:tblCellMar>
        <w:tblLook w:val="05E0"/>
      </w:tblPr>
      <w:tblGrid/>
      <w:tr>
        <w:trPr>
          <w:trHeight w:hRule="atLeast" w:val="60"/>
          <w:jc w:val="center"/>
        </w:trPr>
        <w:tc>
          <w:tcPr>
            <w:tcW w:w="81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22" w:type="dxa"/>
              <w:left w:w="22" w:type="dxa"/>
              <w:bottom w:w="22" w:type="dxa"/>
              <w:right w:w="22" w:type="dxa"/>
            </w:tcMar>
          </w:tcPr>
          <w:p>
            <w:pPr>
              <w:pStyle w:val="P7"/>
              <w:spacing w:before="150" w:after="150" w:beforeAutospacing="0" w:afterAutospacing="0"/>
              <w:rPr>
                <w:lang w:val="uk" w:eastAsia="uk"/>
              </w:rPr>
            </w:pPr>
          </w:p>
        </w:tc>
        <w:tc>
          <w:tcPr>
            <w:tcW w:w="94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22" w:type="dxa"/>
              <w:left w:w="22" w:type="dxa"/>
              <w:bottom w:w="22" w:type="dxa"/>
              <w:right w:w="22" w:type="dxa"/>
            </w:tcMar>
          </w:tcPr>
          <w:p>
            <w:pPr>
              <w:pStyle w:val="P7"/>
              <w:spacing w:before="150" w:after="150" w:beforeAutospacing="0" w:afterAutospacing="0"/>
              <w:rPr>
                <w:sz w:val="28"/>
                <w:szCs w:val="28"/>
                <w:lang w:val="uk" w:eastAsia="uk"/>
              </w:rPr>
            </w:pPr>
          </w:p>
        </w:tc>
        <w:tc>
          <w:tcPr>
            <w:tcW w:w="94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22" w:type="dxa"/>
              <w:left w:w="22" w:type="dxa"/>
              <w:bottom w:w="22" w:type="dxa"/>
              <w:right w:w="22" w:type="dxa"/>
            </w:tcMar>
            <w:hideMark/>
          </w:tcPr>
          <w:p>
            <w:pPr>
              <w:pStyle w:val="P7"/>
              <w:spacing w:before="150" w:after="150" w:beforeAutospacing="0" w:afterAutospacing="0"/>
              <w:rPr>
                <w:sz w:val="28"/>
                <w:szCs w:val="28"/>
                <w:lang w:val="uk" w:eastAsia="uk"/>
              </w:rPr>
            </w:pPr>
            <w:r>
              <w:rPr>
                <w:sz w:val="28"/>
                <w:szCs w:val="28"/>
                <w:lang w:val="uk" w:eastAsia="uk"/>
              </w:rPr>
              <w:t>075</w:t>
            </w:r>
          </w:p>
        </w:tc>
        <w:tc>
          <w:tcPr>
            <w:tcW w:w="519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22" w:type="dxa"/>
              <w:left w:w="22" w:type="dxa"/>
              <w:bottom w:w="22" w:type="dxa"/>
              <w:right w:w="22" w:type="dxa"/>
            </w:tcMar>
            <w:hideMark/>
          </w:tcPr>
          <w:p>
            <w:pPr>
              <w:pStyle w:val="P7"/>
              <w:spacing w:before="150" w:after="150" w:beforeAutospacing="0" w:afterAutospacing="0"/>
              <w:rPr>
                <w:lang w:val="uk" w:eastAsia="uk"/>
              </w:rPr>
            </w:pPr>
            <w:r>
              <w:rPr>
                <w:sz w:val="28"/>
                <w:szCs w:val="28"/>
                <w:lang w:val="uk-UA" w:eastAsia="uk"/>
              </w:rPr>
              <w:t>Невідшкодовані втрати від шкоди та збитків, завданих внаслідок збройної агресії Російської Федерації</w:t>
            </w:r>
          </w:p>
        </w:tc>
      </w:tr>
    </w:tbl>
    <w:p>
      <w:pPr>
        <w:pStyle w:val="P17"/>
        <w:spacing w:before="150" w:after="150" w:beforeAutospacing="0" w:afterAutospacing="0"/>
        <w:ind w:firstLine="630" w:left="8730"/>
        <w:jc w:val="center"/>
        <w:rPr>
          <w:lang w:val="uk" w:eastAsia="uk"/>
        </w:rPr>
      </w:pPr>
      <w:r>
        <w:rPr>
          <w:lang w:val="uk" w:eastAsia="uk"/>
        </w:rPr>
        <w:t>».</w:t>
      </w:r>
    </w:p>
    <w:p>
      <w:pPr>
        <w:pStyle w:val="P14"/>
        <w:numPr>
          <w:ilvl w:val="0"/>
          <w:numId w:val="4"/>
        </w:numPr>
        <w:tabs>
          <w:tab w:val="left" w:pos="993" w:leader="none"/>
        </w:tabs>
        <w:spacing w:after="150" w:beforeAutospacing="0" w:afterAutospacing="0"/>
        <w:ind w:firstLine="567" w:left="0"/>
        <w:rPr>
          <w:sz w:val="28"/>
          <w:szCs w:val="28"/>
          <w:lang w:val="uk-UA" w:eastAsia="uk"/>
        </w:rPr>
      </w:pPr>
      <w:r>
        <w:rPr>
          <w:sz w:val="28"/>
          <w:szCs w:val="28"/>
          <w:lang w:val="uk-UA" w:eastAsia="uk"/>
        </w:rPr>
        <w:t xml:space="preserve">У </w:t>
      </w:r>
      <w:hyperlink xmlns:r="http://schemas.openxmlformats.org/officeDocument/2006/relationships" r:id="R3" w:anchor="n24" w:tgtFrame="_blank">
        <w:r>
          <w:rPr>
            <w:sz w:val="28"/>
            <w:szCs w:val="28"/>
            <w:lang w:val="uk-UA"/>
          </w:rPr>
          <w:t>Порядку застосування Плану рахунків бухгалтерського обліку в державному секторі</w:t>
        </w:r>
      </w:hyperlink>
      <w:r>
        <w:rPr>
          <w:sz w:val="28"/>
          <w:szCs w:val="28"/>
          <w:lang w:val="uk-UA" w:eastAsia="uk"/>
        </w:rPr>
        <w:t>, затвердженому наказом Міністерства фінансів України від 29 грудня 2015 року № 1219, зареєстрованому в Міністерстві юстиції України 16 січня 2016 року за № 85/28215:</w:t>
      </w:r>
    </w:p>
    <w:p>
      <w:pPr>
        <w:pStyle w:val="P14"/>
        <w:numPr>
          <w:ilvl w:val="0"/>
          <w:numId w:val="7"/>
        </w:numPr>
        <w:tabs>
          <w:tab w:val="left" w:pos="993" w:leader="none"/>
        </w:tabs>
        <w:ind w:firstLine="0" w:left="567"/>
        <w:rPr>
          <w:sz w:val="28"/>
          <w:szCs w:val="28"/>
          <w:lang w:val="uk-UA" w:eastAsia="uk"/>
        </w:rPr>
      </w:pPr>
      <w:r>
        <w:rPr>
          <w:sz w:val="28"/>
          <w:szCs w:val="28"/>
          <w:lang w:val="uk-UA" w:eastAsia="uk"/>
        </w:rPr>
        <w:t>у розділі І:</w:t>
      </w:r>
    </w:p>
    <w:p>
      <w:pPr>
        <w:pStyle w:val="P14"/>
        <w:tabs>
          <w:tab w:val="left" w:pos="993" w:leader="none"/>
        </w:tabs>
        <w:ind w:firstLine="0" w:left="567"/>
        <w:rPr>
          <w:sz w:val="28"/>
          <w:szCs w:val="28"/>
          <w:lang w:val="uk-UA" w:eastAsia="uk"/>
        </w:rPr>
      </w:pPr>
      <w:r>
        <w:rPr>
          <w:sz w:val="28"/>
          <w:szCs w:val="28"/>
          <w:lang w:val="uk-UA" w:eastAsia="uk"/>
        </w:rPr>
        <w:t xml:space="preserve">у </w:t>
      </w:r>
      <w:hyperlink xmlns:r="http://schemas.openxmlformats.org/officeDocument/2006/relationships" r:id="R4" w:anchor="n199" w:tgtFrame="_blank">
        <w:r>
          <w:rPr>
            <w:sz w:val="28"/>
            <w:szCs w:val="28"/>
            <w:lang w:val="uk-UA"/>
          </w:rPr>
          <w:t>класі 2</w:t>
        </w:r>
      </w:hyperlink>
      <w:r>
        <w:rPr>
          <w:sz w:val="28"/>
          <w:szCs w:val="28"/>
          <w:lang w:val="uk-UA" w:eastAsia="uk"/>
        </w:rPr>
        <w:t xml:space="preserve"> «Фінансові активи»:</w:t>
      </w:r>
    </w:p>
    <w:p>
      <w:pPr>
        <w:pStyle w:val="P14"/>
        <w:ind w:firstLine="567"/>
        <w:rPr>
          <w:sz w:val="28"/>
          <w:szCs w:val="28"/>
          <w:lang w:val="uk-UA" w:eastAsia="uk"/>
        </w:rPr>
      </w:pPr>
      <w:r>
        <w:rPr>
          <w:sz w:val="28"/>
          <w:szCs w:val="28"/>
          <w:lang w:val="uk-UA" w:eastAsia="uk"/>
        </w:rPr>
        <w:t xml:space="preserve">в абзаці сорок другому рахунку 21 «Поточна дебіторська заборгованість» слова «відповідно до окремих рішень Кабінету Міністрів України (місцевої ради) та нормативно-правової бази, що регламентує бюджетний процес» </w:t>
      </w:r>
      <w:bookmarkStart w:id="5" w:name="n47"/>
      <w:bookmarkEnd w:id="5"/>
      <w:r>
        <w:rPr>
          <w:sz w:val="28"/>
          <w:szCs w:val="28"/>
          <w:lang w:val="uk-UA" w:eastAsia="uk"/>
        </w:rPr>
        <w:t>замінити словами «відповідно до Бюджетного кодексу України, окремих рішень Кабінету Міністрів України (місцевої ради) та інших нормативно – правових актів, що регламентують бюджетний процес»;</w:t>
      </w:r>
    </w:p>
    <w:p>
      <w:pPr>
        <w:pStyle w:val="P14"/>
        <w:rPr>
          <w:sz w:val="28"/>
          <w:szCs w:val="28"/>
          <w:lang w:val="uk-UA" w:eastAsia="uk"/>
        </w:rPr>
      </w:pPr>
      <w:r>
        <w:rPr>
          <w:sz w:val="28"/>
          <w:szCs w:val="28"/>
          <w:lang w:val="uk-UA" w:eastAsia="uk"/>
        </w:rPr>
        <w:t>у рахунку 25 «Довгострокові фінансові інвестиції та інші фінансові активи</w:t>
      </w:r>
      <w:r>
        <w:rPr>
          <w:b w:val="1"/>
          <w:bCs w:val="1"/>
          <w:shd w:val="clear" w:color="auto" w:fill="FFFFFF"/>
          <w:lang w:val="uk-UA"/>
        </w:rPr>
        <w:t>»</w:t>
      </w:r>
      <w:r>
        <w:rPr>
          <w:sz w:val="28"/>
          <w:szCs w:val="28"/>
          <w:lang w:val="uk-UA" w:eastAsia="uk"/>
        </w:rPr>
        <w:t>:</w:t>
      </w:r>
    </w:p>
    <w:p>
      <w:pPr>
        <w:pStyle w:val="P14"/>
        <w:rPr>
          <w:sz w:val="28"/>
          <w:szCs w:val="28"/>
          <w:lang w:val="uk-UA" w:eastAsia="uk"/>
        </w:rPr>
      </w:pPr>
      <w:r>
        <w:rPr>
          <w:sz w:val="28"/>
          <w:szCs w:val="28"/>
          <w:lang w:val="uk-UA" w:eastAsia="uk"/>
        </w:rPr>
        <w:t>в абзаці першому слова «статутних капіталів» замінити словами «статутного / пайового капіталу та додаткового капіталу»;</w:t>
      </w:r>
    </w:p>
    <w:p>
      <w:pPr>
        <w:pStyle w:val="P14"/>
        <w:rPr>
          <w:sz w:val="28"/>
          <w:szCs w:val="28"/>
          <w:lang w:val="uk-UA" w:eastAsia="uk"/>
        </w:rPr>
      </w:pPr>
      <w:r>
        <w:rPr>
          <w:sz w:val="28"/>
          <w:szCs w:val="28"/>
          <w:lang w:val="uk-UA" w:eastAsia="uk"/>
        </w:rPr>
        <w:t>в абзаці чотирнадцятому слово «підприємства» замінити словами «суб’єкти господарювання»;</w:t>
      </w:r>
    </w:p>
    <w:p>
      <w:pPr>
        <w:pStyle w:val="P14"/>
        <w:rPr>
          <w:sz w:val="28"/>
          <w:szCs w:val="28"/>
          <w:lang w:val="uk-UA" w:eastAsia="uk"/>
        </w:rPr>
      </w:pPr>
      <w:r>
        <w:rPr>
          <w:sz w:val="28"/>
          <w:szCs w:val="28"/>
          <w:lang w:val="uk-UA" w:eastAsia="uk"/>
        </w:rPr>
        <w:t>у рахунку 52 «Капітал у підприємствах» класу 5 «Капітал та фінансовий результат»:</w:t>
      </w:r>
    </w:p>
    <w:p>
      <w:pPr>
        <w:pStyle w:val="P14"/>
        <w:rPr>
          <w:sz w:val="28"/>
          <w:szCs w:val="28"/>
          <w:lang w:val="uk-UA" w:eastAsia="uk"/>
        </w:rPr>
      </w:pPr>
      <w:r>
        <w:rPr>
          <w:sz w:val="28"/>
          <w:szCs w:val="28"/>
          <w:lang w:val="uk-UA" w:eastAsia="uk"/>
        </w:rPr>
        <w:t>в абзаці першому слово «підприємства» замінити словами «суб’єкти господарювання»;</w:t>
      </w:r>
    </w:p>
    <w:p>
      <w:pPr>
        <w:pStyle w:val="P14"/>
        <w:spacing w:after="150" w:beforeAutospacing="0" w:afterAutospacing="0"/>
        <w:rPr>
          <w:sz w:val="28"/>
          <w:szCs w:val="28"/>
          <w:lang w:val="uk-UA" w:eastAsia="uk"/>
        </w:rPr>
      </w:pPr>
      <w:r>
        <w:rPr>
          <w:sz w:val="28"/>
          <w:szCs w:val="28"/>
          <w:lang w:val="uk-UA" w:eastAsia="uk"/>
        </w:rPr>
        <w:t>в абзаці восьмому слово «підприємств» замінити словами «суб’єктів господарювання»;</w:t>
      </w:r>
    </w:p>
    <w:p>
      <w:pPr>
        <w:pStyle w:val="P14"/>
        <w:numPr>
          <w:ilvl w:val="0"/>
          <w:numId w:val="7"/>
        </w:numPr>
        <w:tabs>
          <w:tab w:val="left" w:pos="993" w:leader="none"/>
        </w:tabs>
        <w:ind w:firstLine="450" w:left="0"/>
        <w:rPr>
          <w:sz w:val="28"/>
          <w:szCs w:val="28"/>
          <w:lang w:val="uk-UA" w:eastAsia="uk"/>
        </w:rPr>
      </w:pPr>
      <w:r>
        <w:rPr>
          <w:sz w:val="28"/>
          <w:szCs w:val="28"/>
          <w:lang w:val="uk-UA" w:eastAsia="uk"/>
        </w:rPr>
        <w:t xml:space="preserve">у рахунку 07 «Списані активи» </w:t>
      </w:r>
      <w:hyperlink xmlns:r="http://schemas.openxmlformats.org/officeDocument/2006/relationships" r:id="R5" w:anchor="n199" w:tgtFrame="_blank">
        <w:r>
          <w:rPr>
            <w:sz w:val="28"/>
            <w:szCs w:val="28"/>
            <w:lang w:val="uk-UA"/>
          </w:rPr>
          <w:t>класу 0</w:t>
        </w:r>
      </w:hyperlink>
      <w:r>
        <w:rPr>
          <w:sz w:val="28"/>
          <w:szCs w:val="28"/>
          <w:lang w:val="uk-UA" w:eastAsia="uk"/>
        </w:rPr>
        <w:t xml:space="preserve"> «Позабалансові рахунки розпорядників бюджетних коштів та державних цільових фондів» розділу ІІ:</w:t>
      </w:r>
    </w:p>
    <w:p>
      <w:pPr>
        <w:pStyle w:val="P14"/>
        <w:tabs>
          <w:tab w:val="left" w:pos="993" w:leader="none"/>
        </w:tabs>
        <w:ind w:firstLine="0" w:left="450"/>
        <w:rPr>
          <w:sz w:val="28"/>
          <w:szCs w:val="28"/>
          <w:lang w:val="uk-UA" w:eastAsia="uk"/>
        </w:rPr>
      </w:pPr>
      <w:r>
        <w:rPr>
          <w:sz w:val="28"/>
          <w:szCs w:val="28"/>
          <w:lang w:val="uk-UA" w:eastAsia="uk"/>
        </w:rPr>
        <w:t>в абзаці першому:</w:t>
      </w:r>
    </w:p>
    <w:p>
      <w:pPr>
        <w:pStyle w:val="P14"/>
        <w:tabs>
          <w:tab w:val="left" w:pos="993" w:leader="none"/>
        </w:tabs>
        <w:rPr>
          <w:sz w:val="28"/>
          <w:szCs w:val="28"/>
          <w:lang w:val="uk-UA" w:eastAsia="uk"/>
        </w:rPr>
      </w:pPr>
      <w:r>
        <w:rPr>
          <w:sz w:val="28"/>
          <w:szCs w:val="28"/>
          <w:lang w:val="uk-UA" w:eastAsia="uk"/>
        </w:rPr>
        <w:t>доповнити речення перше після слів «згідно з наказом,» словами «та невідшкодовані втрати від шкоди та збитків, завданих внаслідок збройної агресії Російської Федерації»;</w:t>
      </w:r>
    </w:p>
    <w:p>
      <w:pPr>
        <w:pStyle w:val="P14"/>
        <w:tabs>
          <w:tab w:val="left" w:pos="993" w:leader="none"/>
        </w:tabs>
        <w:rPr>
          <w:sz w:val="28"/>
          <w:szCs w:val="28"/>
          <w:lang w:val="uk-UA" w:eastAsia="uk"/>
        </w:rPr>
      </w:pPr>
      <w:r>
        <w:rPr>
          <w:sz w:val="28"/>
          <w:szCs w:val="28"/>
          <w:lang w:val="uk-UA" w:eastAsia="uk"/>
        </w:rPr>
        <w:t>доповнити речення друге після слів «неплатоспроможних дебіторів» словами та цифрами «(крім заборгованості за н</w:t>
      </w:r>
      <w:bookmarkStart w:id="6" w:name="_GoBack"/>
      <w:bookmarkEnd w:id="6"/>
      <w:r>
        <w:rPr>
          <w:sz w:val="28"/>
          <w:szCs w:val="28"/>
          <w:lang w:val="uk-UA" w:eastAsia="uk"/>
        </w:rPr>
        <w:t>евідшкодовані втрати від шкоди та збитків, завданих внаслідок збройної агресії Російської Федерації»).»;</w:t>
      </w:r>
    </w:p>
    <w:p>
      <w:pPr>
        <w:pStyle w:val="P14"/>
        <w:rPr>
          <w:sz w:val="28"/>
          <w:szCs w:val="28"/>
          <w:lang w:val="uk-UA" w:eastAsia="uk"/>
        </w:rPr>
      </w:pPr>
      <w:r>
        <w:rPr>
          <w:sz w:val="28"/>
          <w:szCs w:val="28"/>
          <w:lang w:val="uk-UA" w:eastAsia="uk"/>
        </w:rPr>
        <w:t>абзац другий викласти в такій редакції:</w:t>
      </w:r>
    </w:p>
    <w:p>
      <w:pPr>
        <w:shd w:val="clear" w:fill="FFFFFF"/>
        <w:ind w:firstLine="450"/>
        <w:jc w:val="both"/>
        <w:rPr>
          <w:sz w:val="28"/>
          <w:szCs w:val="28"/>
          <w:lang w:val="uk-UA" w:eastAsia="uk"/>
        </w:rPr>
      </w:pPr>
      <w:r>
        <w:rPr>
          <w:sz w:val="28"/>
          <w:szCs w:val="28"/>
          <w:lang w:val="uk-UA" w:eastAsia="uk"/>
        </w:rPr>
        <w:t>«Аналітичний облік за позабалансовим рахунком 07 «Списані активи» ведеться:»;</w:t>
      </w:r>
    </w:p>
    <w:p>
      <w:pPr>
        <w:shd w:val="clear" w:fill="FFFFFF"/>
        <w:ind w:firstLine="450"/>
        <w:jc w:val="both"/>
        <w:rPr>
          <w:sz w:val="28"/>
          <w:szCs w:val="28"/>
          <w:lang w:val="uk-UA" w:eastAsia="uk"/>
        </w:rPr>
      </w:pPr>
      <w:r>
        <w:rPr>
          <w:sz w:val="28"/>
          <w:szCs w:val="28"/>
          <w:lang w:val="uk-UA" w:eastAsia="uk"/>
        </w:rPr>
        <w:t>після абзацу другого доповнити абзацами третім – п’ятим такого змісту:</w:t>
      </w:r>
    </w:p>
    <w:p>
      <w:pPr>
        <w:shd w:val="clear" w:fill="FFFFFF"/>
        <w:ind w:firstLine="450"/>
        <w:jc w:val="both"/>
        <w:rPr>
          <w:sz w:val="28"/>
          <w:szCs w:val="28"/>
          <w:lang w:val="uk-UA" w:eastAsia="uk"/>
        </w:rPr>
      </w:pPr>
      <w:r>
        <w:rPr>
          <w:sz w:val="28"/>
          <w:szCs w:val="28"/>
          <w:lang w:val="uk-UA" w:eastAsia="uk"/>
        </w:rPr>
        <w:t>«за боржниками та випадками встановлення нестач і втрат від псування цінностей;</w:t>
      </w:r>
    </w:p>
    <w:p>
      <w:pPr>
        <w:shd w:val="clear" w:fill="FFFFFF"/>
        <w:ind w:firstLine="450"/>
        <w:jc w:val="both"/>
        <w:rPr>
          <w:sz w:val="28"/>
          <w:szCs w:val="28"/>
          <w:lang w:val="uk-UA" w:eastAsia="uk"/>
        </w:rPr>
      </w:pPr>
      <w:r>
        <w:rPr>
          <w:sz w:val="28"/>
          <w:szCs w:val="28"/>
          <w:lang w:val="uk-UA" w:eastAsia="uk"/>
        </w:rPr>
        <w:t>за видами активів, пошкоджених, знищених, викрадених внаслідок збройної агресії Російської Федерації, які списані згідно із законодавством;</w:t>
      </w:r>
    </w:p>
    <w:p>
      <w:pPr>
        <w:pStyle w:val="P14"/>
        <w:rPr>
          <w:sz w:val="28"/>
          <w:szCs w:val="28"/>
          <w:lang w:val="uk-UA" w:eastAsia="uk"/>
        </w:rPr>
      </w:pPr>
      <w:r>
        <w:rPr>
          <w:sz w:val="28"/>
          <w:szCs w:val="28"/>
          <w:lang w:val="uk-UA" w:eastAsia="uk"/>
        </w:rPr>
        <w:t>за видами активів та/або їх місцезнаходженням, які внаслідок збройної агресії Російської Федерації пошкоджені, знищені, викрадені або над якими втрачено контроль, але продовжують обліковуватись на балансі.».</w:t>
      </w:r>
    </w:p>
    <w:p>
      <w:pPr>
        <w:pStyle w:val="P14"/>
        <w:tabs>
          <w:tab w:val="left" w:pos="993" w:leader="none"/>
        </w:tabs>
        <w:ind w:firstLine="567"/>
        <w:rPr>
          <w:sz w:val="28"/>
          <w:szCs w:val="28"/>
          <w:lang w:val="uk" w:eastAsia="uk"/>
        </w:rPr>
      </w:pPr>
      <w:r>
        <w:rPr>
          <w:sz w:val="28"/>
          <w:szCs w:val="28"/>
          <w:lang w:val="uk" w:eastAsia="uk"/>
        </w:rPr>
        <w:t>У зв’язку з цим абзаци третій – сьомий вважати абзацами шостим – десятим відповідно;</w:t>
      </w:r>
    </w:p>
    <w:p>
      <w:pPr>
        <w:pStyle w:val="P14"/>
        <w:rPr>
          <w:sz w:val="28"/>
          <w:szCs w:val="28"/>
          <w:lang w:val="uk-UA" w:eastAsia="uk"/>
        </w:rPr>
      </w:pPr>
      <w:r>
        <w:rPr>
          <w:sz w:val="28"/>
          <w:szCs w:val="28"/>
          <w:lang w:val="uk-UA" w:eastAsia="uk"/>
        </w:rPr>
        <w:t>після абзацу десятого</w:t>
      </w:r>
      <w:r>
        <w:rPr>
          <w:lang w:val="ru-RU"/>
        </w:rPr>
        <w:t xml:space="preserve"> </w:t>
      </w:r>
      <w:r>
        <w:rPr>
          <w:sz w:val="28"/>
          <w:szCs w:val="28"/>
          <w:lang w:val="uk-UA" w:eastAsia="uk"/>
        </w:rPr>
        <w:t>доповнити абзацом одинадцятим такого змісту:</w:t>
      </w:r>
    </w:p>
    <w:p>
      <w:pPr>
        <w:pStyle w:val="P14"/>
        <w:rPr>
          <w:sz w:val="28"/>
          <w:szCs w:val="28"/>
          <w:lang w:val="uk-UA" w:eastAsia="uk"/>
        </w:rPr>
      </w:pPr>
      <w:r>
        <w:rPr>
          <w:sz w:val="28"/>
          <w:szCs w:val="28"/>
          <w:lang w:val="uk-UA" w:eastAsia="uk"/>
        </w:rPr>
        <w:t>«075 «Невідшкодовані втрати від шкоди та збитків, завданих внаслідок збройної агресії Російської Федерації».».</w:t>
      </w:r>
    </w:p>
    <w:p>
      <w:pPr>
        <w:pStyle w:val="P14"/>
        <w:tabs>
          <w:tab w:val="left" w:pos="993" w:leader="none"/>
        </w:tabs>
        <w:ind w:firstLine="567"/>
        <w:rPr>
          <w:sz w:val="28"/>
          <w:szCs w:val="28"/>
          <w:lang w:val="uk" w:eastAsia="uk"/>
        </w:rPr>
      </w:pPr>
      <w:r>
        <w:rPr>
          <w:sz w:val="28"/>
          <w:szCs w:val="28"/>
          <w:lang w:val="uk" w:eastAsia="uk"/>
        </w:rPr>
        <w:t>У зв’язку з цим абзаци одинадцятий – чотирнадцятий вважати абзацами дванадцятим – п’ятнадцятим відповідно;</w:t>
      </w:r>
    </w:p>
    <w:p>
      <w:pPr>
        <w:pStyle w:val="P14"/>
        <w:spacing w:after="150" w:beforeAutospacing="0" w:afterAutospacing="0"/>
        <w:rPr>
          <w:sz w:val="28"/>
          <w:szCs w:val="28"/>
          <w:lang w:val="uk-UA" w:eastAsia="uk"/>
        </w:rPr>
      </w:pPr>
      <w:r>
        <w:rPr>
          <w:sz w:val="28"/>
          <w:szCs w:val="28"/>
          <w:lang w:val="uk-UA" w:eastAsia="uk"/>
        </w:rPr>
        <w:t>після абзацу п’ятнадцятого</w:t>
      </w:r>
      <w:r>
        <w:rPr>
          <w:lang w:val="ru-RU"/>
        </w:rPr>
        <w:t xml:space="preserve"> </w:t>
      </w:r>
      <w:r>
        <w:rPr>
          <w:sz w:val="28"/>
          <w:szCs w:val="28"/>
          <w:lang w:val="uk-UA" w:eastAsia="uk"/>
        </w:rPr>
        <w:t>доповнити новим абзацом такого змісту:</w:t>
      </w:r>
    </w:p>
    <w:p>
      <w:pPr>
        <w:pStyle w:val="P14"/>
        <w:spacing w:after="150" w:beforeAutospacing="0" w:afterAutospacing="0"/>
        <w:rPr>
          <w:sz w:val="28"/>
          <w:szCs w:val="28"/>
          <w:lang w:val="uk-UA" w:eastAsia="uk"/>
        </w:rPr>
      </w:pPr>
      <w:r>
        <w:rPr>
          <w:sz w:val="28"/>
          <w:szCs w:val="28"/>
          <w:lang w:val="uk-UA" w:eastAsia="uk"/>
        </w:rPr>
        <w:t>«На субрахунку 075 «Невідшкодовані втрати від шкоди та збитків, завданих внаслідок збройної агресії Російської Федерації» ведеться облік розпорядниками бюджетних коштів суми збитків, спричинених внаслідок збройної агресії Російської Федерації, оцінка яких проведена у встановленому законодавством порядку для цілей подальшого відшкодування. Зменшення суми збитків, завданих внаслідок збройної агресії Російської Федерації, на субрахунку 075 «Невідшкодовані втрати від шкоди та збитків, завданих внаслідок збройної агресії Російської Федерації» здійснюється після отримання рішення про відшкодування коштів суб’єкту державного сектору з одночасним відображенням дебіторської заборгованості та доходів в сумі, що належить до відшкодування.».</w:t>
      </w:r>
    </w:p>
    <w:p>
      <w:pPr>
        <w:pStyle w:val="P14"/>
        <w:rPr>
          <w:sz w:val="28"/>
          <w:szCs w:val="28"/>
          <w:lang w:val="uk-UA" w:eastAsia="uk"/>
        </w:rPr>
      </w:pPr>
      <w:r>
        <w:rPr>
          <w:sz w:val="28"/>
          <w:szCs w:val="28"/>
          <w:lang w:val="uk-UA" w:eastAsia="uk"/>
        </w:rPr>
        <w:t>3. Рядки 4.2-4.</w:t>
      </w:r>
      <w:r>
        <w:rPr>
          <w:smallCaps w:val="0"/>
          <w:sz w:val="28"/>
          <w:szCs w:val="22"/>
          <w:cs w:val="0"/>
          <w:spacing w:val="0"/>
          <w:w w:val="100"/>
          <w:position w:val="0"/>
          <w:snapToGrid w:val="1"/>
          <w:lang w:val="uk-UA" w:eastAsia="uk"/>
        </w:rPr>
        <w:t>4</w:t>
      </w:r>
      <w:r>
        <w:rPr>
          <w:sz w:val="28"/>
          <w:szCs w:val="28"/>
          <w:lang w:val="uk-UA" w:eastAsia="uk"/>
        </w:rPr>
        <w:t xml:space="preserve"> розділу 4 таблиці </w:t>
      </w:r>
      <w:hyperlink xmlns:r="http://schemas.openxmlformats.org/officeDocument/2006/relationships" r:id="R6" w:anchor="n4" w:tgtFrame="_blank">
        <w:r>
          <w:rPr>
            <w:sz w:val="28"/>
            <w:szCs w:val="28"/>
            <w:lang w:val="uk-UA" w:eastAsia="uk"/>
          </w:rPr>
          <w:t>Типової</w:t>
        </w:r>
      </w:hyperlink>
      <w:hyperlink xmlns:r="http://schemas.openxmlformats.org/officeDocument/2006/relationships" r:id="R7" w:anchor="n4" w:tgtFrame="_blank">
        <w:r>
          <w:rPr>
            <w:sz w:val="28"/>
            <w:szCs w:val="28"/>
            <w:lang w:val="uk-UA" w:eastAsia="uk"/>
          </w:rPr>
          <w:t xml:space="preserve"> кореспонденції субрахунків бухгалтерського обліку для відображення операцій з активами, капіталом та зобов’язаннями розпорядниками бюджетних коштів та державними цільовими фондами, затвердженої наказом Міністерства фінансів України від 29 грудня                    2015 року № 1219, зареєстрованої в Міністерстві юстиції України 16 січня 2016 року за № 86/28216 </w:t>
        </w:r>
      </w:hyperlink>
      <w:r>
        <w:rPr>
          <w:sz w:val="28"/>
          <w:szCs w:val="28"/>
          <w:lang w:val="uk-UA" w:eastAsia="uk"/>
        </w:rPr>
        <w:t xml:space="preserve"> викласти в такій редакції:</w:t>
      </w:r>
    </w:p>
    <w:p>
      <w:pPr>
        <w:shd w:val="clear" w:fill="FFFFFF"/>
        <w:spacing w:after="150" w:beforeAutospacing="0" w:afterAutospacing="0"/>
        <w:ind w:left="426"/>
        <w:rPr>
          <w:sz w:val="28"/>
          <w:szCs w:val="28"/>
          <w:lang w:val="uk-UA" w:eastAsia="uk-UA"/>
        </w:rPr>
      </w:pPr>
      <w:bookmarkStart w:id="7" w:name="n73"/>
      <w:bookmarkEnd w:id="7"/>
      <w:r>
        <w:rPr>
          <w:sz w:val="28"/>
          <w:szCs w:val="28"/>
          <w:lang w:val="uk-UA" w:eastAsia="uk-UA"/>
        </w:rPr>
        <w:t>«</w:t>
      </w:r>
    </w:p>
    <w:tbl>
      <w:tblPr>
        <w:tblW w:w="5000" w:type="pct"/>
        <w:shd w:val="clear" w:fill="FFFFFF"/>
        <w:tblCellMar>
          <w:top w:w="15" w:type="dxa"/>
          <w:left w:w="15" w:type="dxa"/>
          <w:bottom w:w="15" w:type="dxa"/>
          <w:right w:w="15" w:type="dxa"/>
        </w:tblCellMar>
        <w:tblLook w:val="04A0"/>
      </w:tblPr>
      <w:tblGrid/>
      <w:tr>
        <w:trPr>
          <w:gridAfter w:val="1"/>
          <w:wAfter w:w="41" w:type="dxa"/>
          <w:trHeight w:hRule="atLeast" w:val="285"/>
        </w:trPr>
        <w:tc>
          <w:tcPr>
            <w:tcW w:w="840"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4.2</w:t>
            </w:r>
          </w:p>
        </w:tc>
        <w:tc>
          <w:tcPr>
            <w:tcW w:w="4962"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rPr>
                <w:sz w:val="28"/>
                <w:szCs w:val="28"/>
                <w:lang w:val="uk-UA" w:eastAsia="uk"/>
              </w:rPr>
            </w:pPr>
            <w:r>
              <w:rPr>
                <w:sz w:val="28"/>
                <w:szCs w:val="28"/>
                <w:lang w:val="uk-UA" w:eastAsia="uk"/>
              </w:rPr>
              <w:t xml:space="preserve">Придбання фінансових інвестицій шляхом внесення до статутного </w:t>
            </w:r>
            <w:r>
              <w:rPr>
                <w:sz w:val="28"/>
                <w:szCs w:val="28"/>
                <w:lang w:val="ru-RU" w:eastAsia="uk"/>
              </w:rPr>
              <w:t xml:space="preserve">/ </w:t>
            </w:r>
            <w:r>
              <w:rPr>
                <w:sz w:val="28"/>
                <w:szCs w:val="28"/>
                <w:lang w:val="uk-UA" w:eastAsia="uk"/>
              </w:rPr>
              <w:t>пайового капіталу та додаткового капіталу суб’єкта господарювання згідно із законодавством:</w:t>
            </w:r>
          </w:p>
        </w:tc>
        <w:tc>
          <w:tcPr>
            <w:tcW w:w="2270" w:type="dxa"/>
            <w:gridSpan w:val="3"/>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p>
        </w:tc>
        <w:tc>
          <w:tcPr>
            <w:tcW w:w="2126"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p>
        </w:tc>
      </w:tr>
      <w:tr>
        <w:trPr>
          <w:gridAfter w:val="1"/>
          <w:wAfter w:w="41" w:type="dxa"/>
          <w:trHeight w:hRule="atLeast" w:val="285"/>
        </w:trPr>
        <w:tc>
          <w:tcPr>
            <w:tcW w:w="840" w:type="dxa"/>
            <w:vMerge w:val="restar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а)</w:t>
            </w:r>
          </w:p>
        </w:tc>
        <w:tc>
          <w:tcPr>
            <w:tcW w:w="4962"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rPr>
                <w:sz w:val="28"/>
                <w:szCs w:val="28"/>
                <w:lang w:val="uk-UA" w:eastAsia="uk"/>
              </w:rPr>
            </w:pPr>
            <w:r>
              <w:rPr>
                <w:sz w:val="28"/>
                <w:szCs w:val="28"/>
                <w:lang w:val="uk-UA" w:eastAsia="uk"/>
              </w:rPr>
              <w:t>грошових коштів</w:t>
            </w:r>
          </w:p>
        </w:tc>
        <w:tc>
          <w:tcPr>
            <w:tcW w:w="2270" w:type="dxa"/>
            <w:gridSpan w:val="3"/>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2511 (2521) «Придбані акції», 2512 (2522) «Довгострокові фінансові інвестиції у цінні папери, крім акцій», 2513 (2523) «Довгострокові фінансові інвестиції у капітал підприємств»</w:t>
            </w:r>
          </w:p>
        </w:tc>
        <w:tc>
          <w:tcPr>
            <w:tcW w:w="2126"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2311 (2321) «Поточні рахунки в банку», 2313 (2323) «Реєстраційні рахунки»</w:t>
            </w:r>
          </w:p>
        </w:tc>
      </w:tr>
      <w:tr>
        <w:trPr>
          <w:gridAfter w:val="1"/>
          <w:wAfter w:w="41" w:type="dxa"/>
          <w:trHeight w:hRule="atLeast" w:val="285"/>
        </w:trPr>
        <w:tc>
          <w:tcPr>
            <w:tcW w:w="840" w:type="dxa"/>
            <w:vMerge w:val="continue"/>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jc w:val="center"/>
              <w:rPr>
                <w:sz w:val="28"/>
                <w:szCs w:val="28"/>
                <w:lang w:val="uk-UA" w:eastAsia="uk"/>
              </w:rPr>
            </w:pPr>
          </w:p>
        </w:tc>
        <w:tc>
          <w:tcPr>
            <w:tcW w:w="4962"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rPr>
                <w:sz w:val="28"/>
                <w:szCs w:val="28"/>
                <w:lang w:val="uk-UA" w:eastAsia="uk"/>
              </w:rPr>
            </w:pPr>
            <w:r>
              <w:rPr>
                <w:sz w:val="28"/>
                <w:szCs w:val="28"/>
                <w:lang w:val="uk-UA" w:eastAsia="uk"/>
              </w:rPr>
              <w:t>Водночас проведення другого запису</w:t>
            </w:r>
          </w:p>
        </w:tc>
        <w:tc>
          <w:tcPr>
            <w:tcW w:w="2270" w:type="dxa"/>
            <w:gridSpan w:val="3"/>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54 «Цільове фінансування»</w:t>
            </w:r>
          </w:p>
        </w:tc>
        <w:tc>
          <w:tcPr>
            <w:tcW w:w="2126"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5211 (5221) «Капітал у підприємствах у формі акцій», 5212 (5222) «Капітал у підприємствах в іншій формі участі у капіталі», 5213 (5223) «Капітал в частках (паях)»</w:t>
            </w:r>
          </w:p>
        </w:tc>
      </w:tr>
      <w:tr>
        <w:trPr>
          <w:gridAfter w:val="1"/>
          <w:wAfter w:w="41" w:type="dxa"/>
          <w:trHeight w:hRule="atLeast" w:val="285"/>
        </w:trPr>
        <w:tc>
          <w:tcPr>
            <w:tcW w:w="840" w:type="dxa"/>
            <w:vMerge w:val="restar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б)</w:t>
            </w:r>
          </w:p>
        </w:tc>
        <w:tc>
          <w:tcPr>
            <w:tcW w:w="4962"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rPr>
                <w:sz w:val="28"/>
                <w:szCs w:val="28"/>
                <w:lang w:val="uk-UA" w:eastAsia="uk"/>
              </w:rPr>
            </w:pPr>
            <w:r>
              <w:rPr>
                <w:sz w:val="28"/>
                <w:szCs w:val="28"/>
                <w:lang w:val="uk-UA" w:eastAsia="uk"/>
              </w:rPr>
              <w:t>необоротних активів, активів для розподілу, передачі</w:t>
            </w:r>
          </w:p>
        </w:tc>
        <w:tc>
          <w:tcPr>
            <w:tcW w:w="2270" w:type="dxa"/>
            <w:gridSpan w:val="3"/>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2511 (2521) «Придбані акції», 2512 (2522) «Довгострокові фінансові інвестиції у цінні папери, крім акцій», 2513 (2523) «Довгострокові фінансові інвестиції у капітал підприємств»</w:t>
            </w:r>
          </w:p>
        </w:tc>
        <w:tc>
          <w:tcPr>
            <w:tcW w:w="2126"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1013 (1023) «Будівлі, споруди та передавальні пристрої» - 1018 (1028) «Інші основні засоби», 11 «Інші необоротні матеріальні активи», 12 «Нематеріальні активи», 1815 (1825) «Активи для розподілу, передачі, продажу»</w:t>
            </w:r>
          </w:p>
        </w:tc>
      </w:tr>
      <w:tr>
        <w:trPr>
          <w:gridAfter w:val="1"/>
          <w:wAfter w:w="41" w:type="dxa"/>
          <w:trHeight w:hRule="atLeast" w:val="285"/>
        </w:trPr>
        <w:tc>
          <w:tcPr>
            <w:tcW w:w="840" w:type="dxa"/>
            <w:vMerge w:val="continue"/>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jc w:val="center"/>
              <w:rPr>
                <w:sz w:val="28"/>
                <w:szCs w:val="28"/>
                <w:lang w:val="uk-UA" w:eastAsia="uk"/>
              </w:rPr>
            </w:pPr>
          </w:p>
        </w:tc>
        <w:tc>
          <w:tcPr>
            <w:tcW w:w="4962"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rPr>
                <w:sz w:val="28"/>
                <w:szCs w:val="28"/>
                <w:lang w:val="uk-UA" w:eastAsia="uk"/>
              </w:rPr>
            </w:pPr>
            <w:r>
              <w:rPr>
                <w:sz w:val="28"/>
                <w:szCs w:val="28"/>
                <w:lang w:val="uk-UA" w:eastAsia="uk"/>
              </w:rPr>
              <w:t>Списання сум нарахованого зносу (накопиченої амортизації)</w:t>
            </w:r>
          </w:p>
        </w:tc>
        <w:tc>
          <w:tcPr>
            <w:tcW w:w="2270" w:type="dxa"/>
            <w:gridSpan w:val="3"/>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1411 (1421) «Знос основних засобів» - 1413 (1423) «Накопичена амортизація нематеріальних активів»</w:t>
            </w:r>
          </w:p>
        </w:tc>
        <w:tc>
          <w:tcPr>
            <w:tcW w:w="2126"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1013 (1023) «Будівлі, споруди та передавальні пристрої» - 1018 (1028) «Інші основні засоби», 11 «Інші необоротні матеріальні активи», 12 «Нематеріальні активи»</w:t>
            </w:r>
          </w:p>
        </w:tc>
      </w:tr>
      <w:tr>
        <w:trPr>
          <w:gridAfter w:val="1"/>
          <w:wAfter w:w="41" w:type="dxa"/>
          <w:trHeight w:hRule="atLeast" w:val="285"/>
        </w:trPr>
        <w:tc>
          <w:tcPr>
            <w:tcW w:w="840" w:type="dxa"/>
            <w:vMerge w:val="continue"/>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jc w:val="center"/>
              <w:rPr>
                <w:sz w:val="28"/>
                <w:szCs w:val="28"/>
                <w:lang w:val="uk-UA" w:eastAsia="uk"/>
              </w:rPr>
            </w:pPr>
          </w:p>
        </w:tc>
        <w:tc>
          <w:tcPr>
            <w:tcW w:w="4962"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rPr>
                <w:sz w:val="28"/>
                <w:szCs w:val="28"/>
                <w:lang w:val="uk-UA" w:eastAsia="uk"/>
              </w:rPr>
            </w:pPr>
            <w:r>
              <w:rPr>
                <w:sz w:val="28"/>
                <w:szCs w:val="28"/>
                <w:lang w:val="uk-UA" w:eastAsia="uk"/>
              </w:rPr>
              <w:t>Водночас відображення змін у капіталі</w:t>
            </w:r>
          </w:p>
        </w:tc>
        <w:tc>
          <w:tcPr>
            <w:tcW w:w="2270" w:type="dxa"/>
            <w:gridSpan w:val="3"/>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jc w:val="center"/>
              <w:rPr>
                <w:sz w:val="28"/>
                <w:szCs w:val="28"/>
                <w:lang w:val="uk-UA" w:eastAsia="uk"/>
              </w:rPr>
            </w:pPr>
            <w:r>
              <w:rPr>
                <w:sz w:val="28"/>
                <w:szCs w:val="28"/>
                <w:lang w:val="uk-UA" w:eastAsia="uk"/>
              </w:rPr>
              <w:br w:type="textWrapping"/>
              <w:t>51 «Внесений капітал», 5511 «Фінансові результати виконання кошторису звітного періоду», 5521 «Фінансовий результат виконання бюджету (кошторису) звітного періоду»</w:t>
            </w:r>
          </w:p>
        </w:tc>
        <w:tc>
          <w:tcPr>
            <w:tcW w:w="2126"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5211 (5221) «Капітал у підприємствах у формі акцій», 5212 (5222) «Капітал у підприємствах в іншій формі участі у капіталі», 5213 (5223) «Капітал в частках (паях)»</w:t>
            </w:r>
          </w:p>
        </w:tc>
      </w:tr>
      <w:tr>
        <w:tblPrEx>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shd w:val="clear" w:fill="auto"/>
          <w:tblCellMar>
            <w:top w:w="0" w:type="dxa"/>
            <w:left w:w="108" w:type="dxa"/>
            <w:bottom w:w="0" w:type="dxa"/>
            <w:right w:w="108" w:type="dxa"/>
          </w:tblCellMar>
          <w:tblLook w:val="0000"/>
        </w:tblPrEx>
        <w:trPr>
          <w:gridAfter w:val="1"/>
          <w:wAfter w:w="41" w:type="dxa"/>
          <w:trHeight w:hRule="atLeast" w:val="401"/>
        </w:trPr>
        <w:tc>
          <w:tcPr>
            <w:tcW w:w="840" w:type="dxa"/>
          </w:tcPr>
          <w:p>
            <w:pPr>
              <w:pStyle w:val="P14"/>
              <w:tabs>
                <w:tab w:val="left" w:pos="993" w:leader="none"/>
              </w:tabs>
              <w:spacing w:after="150" w:beforeAutospacing="0" w:afterAutospacing="0"/>
              <w:ind w:firstLine="0"/>
              <w:rPr>
                <w:sz w:val="28"/>
                <w:szCs w:val="28"/>
                <w:lang w:val="uk-UA" w:eastAsia="uk"/>
              </w:rPr>
            </w:pPr>
            <w:r>
              <w:rPr>
                <w:sz w:val="28"/>
                <w:szCs w:val="28"/>
                <w:lang w:val="uk-UA" w:eastAsia="uk"/>
              </w:rPr>
              <w:t>в)</w:t>
            </w:r>
          </w:p>
        </w:tc>
        <w:tc>
          <w:tcPr>
            <w:tcW w:w="4962" w:type="dxa"/>
          </w:tcPr>
          <w:p>
            <w:pPr>
              <w:pStyle w:val="P14"/>
              <w:tabs>
                <w:tab w:val="left" w:pos="993" w:leader="none"/>
              </w:tabs>
              <w:spacing w:after="150" w:beforeAutospacing="0" w:afterAutospacing="0"/>
              <w:ind w:firstLine="0"/>
              <w:rPr>
                <w:sz w:val="28"/>
                <w:szCs w:val="28"/>
                <w:lang w:val="uk-UA" w:eastAsia="uk"/>
              </w:rPr>
            </w:pPr>
            <w:r>
              <w:rPr>
                <w:sz w:val="28"/>
                <w:szCs w:val="28"/>
                <w:lang w:val="uk-UA" w:eastAsia="uk"/>
              </w:rPr>
              <w:t>необоротних активів суб’єкта державного сектору, що належить до сфери управління органу, уповноваженого управляти об’єктами державної (комунальної) власності</w:t>
            </w:r>
          </w:p>
        </w:tc>
        <w:tc>
          <w:tcPr>
            <w:tcW w:w="2270" w:type="dxa"/>
            <w:gridSpan w:val="3"/>
          </w:tcPr>
          <w:p>
            <w:pPr>
              <w:pStyle w:val="P14"/>
              <w:tabs>
                <w:tab w:val="left" w:pos="993" w:leader="none"/>
              </w:tabs>
              <w:spacing w:after="150" w:beforeAutospacing="0" w:afterAutospacing="0"/>
              <w:ind w:firstLine="0"/>
              <w:rPr>
                <w:sz w:val="28"/>
                <w:szCs w:val="28"/>
                <w:lang w:val="uk-UA" w:eastAsia="uk"/>
              </w:rPr>
            </w:pPr>
            <w:r>
              <w:rPr>
                <w:sz w:val="28"/>
                <w:szCs w:val="28"/>
                <w:lang w:val="uk-UA" w:eastAsia="uk"/>
              </w:rPr>
              <w:t>2513 (2523) «Довгострокові фінансові інвестиції у капітал підприємств»</w:t>
            </w:r>
          </w:p>
        </w:tc>
        <w:tc>
          <w:tcPr>
            <w:tcW w:w="2126" w:type="dxa"/>
          </w:tcPr>
          <w:p>
            <w:pPr>
              <w:pStyle w:val="P14"/>
              <w:tabs>
                <w:tab w:val="left" w:pos="993" w:leader="none"/>
              </w:tabs>
              <w:spacing w:after="150" w:beforeAutospacing="0" w:afterAutospacing="0"/>
              <w:ind w:firstLine="720" w:left="-251"/>
              <w:rPr>
                <w:sz w:val="28"/>
                <w:szCs w:val="28"/>
                <w:lang w:val="uk-UA" w:eastAsia="uk"/>
              </w:rPr>
            </w:pPr>
            <w:r>
              <w:rPr>
                <w:sz w:val="28"/>
                <w:szCs w:val="28"/>
                <w:lang w:val="uk-UA" w:eastAsia="uk"/>
              </w:rPr>
              <w:t>5212 (5222) «Капітал у підприємствах в іншій формі участі у капіталі»</w:t>
            </w:r>
          </w:p>
        </w:tc>
      </w:tr>
      <w:tr>
        <w:trPr>
          <w:gridAfter w:val="1"/>
          <w:wAfter w:w="41" w:type="dxa"/>
          <w:trHeight w:hRule="atLeast" w:val="285"/>
        </w:trPr>
        <w:tc>
          <w:tcPr>
            <w:tcW w:w="840"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4.3</w:t>
            </w:r>
          </w:p>
        </w:tc>
        <w:tc>
          <w:tcPr>
            <w:tcW w:w="4962"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both"/>
              <w:rPr>
                <w:sz w:val="28"/>
                <w:szCs w:val="28"/>
                <w:lang w:val="uk-UA" w:eastAsia="uk"/>
              </w:rPr>
            </w:pPr>
            <w:r>
              <w:rPr>
                <w:sz w:val="28"/>
                <w:szCs w:val="28"/>
                <w:lang w:val="uk-UA" w:eastAsia="uk"/>
              </w:rPr>
              <w:t>Передача до сфери управління суб’єкта державного сектору суб’єктів господарювання державного, комунального сектору економіки та збільшення розміру статутного / пайового капіталу та додаткового капіталу суб’єктів господарювання, які належать до сфери управління суб’єкта державного сектору, пропорційно частці суб’єкта державного сектору</w:t>
            </w:r>
          </w:p>
        </w:tc>
        <w:tc>
          <w:tcPr>
            <w:tcW w:w="2270" w:type="dxa"/>
            <w:gridSpan w:val="3"/>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2511 (2521) «Придбані акції»;</w:t>
              <w:br w:type="textWrapping"/>
              <w:t>2512 (2522) «Довгострокові фінансові інвестиції у цінні папери, крім акцій»;</w:t>
              <w:br w:type="textWrapping"/>
              <w:t>2513 (2523) «Довгострокові фінансові інвестиції у капітал підприємств»</w:t>
            </w:r>
          </w:p>
        </w:tc>
        <w:tc>
          <w:tcPr>
            <w:tcW w:w="2126"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
              </w:rPr>
            </w:pPr>
            <w:r>
              <w:rPr>
                <w:sz w:val="28"/>
                <w:szCs w:val="28"/>
                <w:lang w:val="uk-UA" w:eastAsia="uk"/>
              </w:rPr>
              <w:t>5211 (5221) «Капітал у підприємствах у формі акцій»;</w:t>
              <w:br w:type="textWrapping"/>
              <w:t>5212 (5222) «Капітал у підприємствах в іншій формі участі у капіталі»;</w:t>
              <w:br w:type="textWrapping"/>
              <w:t>5213 (5223) «Капітал в частках (паях)»</w:t>
            </w:r>
          </w:p>
        </w:tc>
      </w:tr>
      <w:tr>
        <w:trPr>
          <w:trHeight w:hRule="atLeast" w:val="285"/>
        </w:trPr>
        <w:tc>
          <w:tcPr>
            <w:tcW w:w="842" w:type="dxa"/>
            <w:vMerge w:val="restar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UA"/>
              </w:rPr>
            </w:pPr>
            <w:r>
              <w:rPr>
                <w:sz w:val="28"/>
                <w:szCs w:val="28"/>
                <w:lang w:val="uk-UA" w:eastAsia="uk-UA"/>
              </w:rPr>
              <w:t>4.4</w:t>
            </w:r>
          </w:p>
        </w:tc>
        <w:tc>
          <w:tcPr>
            <w:tcW w:w="5025" w:type="dxa"/>
            <w:gridSpan w:val="2"/>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rPr>
                <w:sz w:val="28"/>
                <w:szCs w:val="28"/>
                <w:lang w:val="uk-UA" w:eastAsia="uk-UA"/>
              </w:rPr>
            </w:pPr>
            <w:r>
              <w:rPr>
                <w:sz w:val="28"/>
                <w:szCs w:val="28"/>
                <w:shd w:val="clear" w:color="auto" w:fill="FFFFFF"/>
                <w:lang w:val="uk-UA"/>
              </w:rPr>
              <w:t>Вилучення зі сфери управління суб'єкта державного сектору суб’єктів господарювання державного, комунального секторів економіки та зменшення розміру статутного / пайового капіталу та додаткового капіталу суб’єктів господарювання, які належать до сфери управління суб’єкта державного сектору, пропорційно частці суб’єкта державного сектору, у частині:</w:t>
            </w:r>
          </w:p>
        </w:tc>
        <w:tc>
          <w:tcPr>
            <w:tcW w:w="2121"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UA"/>
              </w:rPr>
            </w:pPr>
          </w:p>
        </w:tc>
        <w:tc>
          <w:tcPr>
            <w:tcW w:w="2251" w:type="dxa"/>
            <w:gridSpan w:val="3"/>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UA"/>
              </w:rPr>
            </w:pPr>
          </w:p>
        </w:tc>
      </w:tr>
      <w:tr>
        <w:trPr>
          <w:trHeight w:hRule="atLeast" w:val="285"/>
        </w:trPr>
        <w:tc>
          <w:tcPr>
            <w:tcW w:w="0" w:type="auto"/>
            <w:vMerge w:val="continue"/>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jc w:val="center"/>
              <w:rPr>
                <w:sz w:val="28"/>
                <w:szCs w:val="28"/>
                <w:lang w:val="uk-UA" w:eastAsia="uk-UA"/>
              </w:rPr>
            </w:pPr>
          </w:p>
        </w:tc>
        <w:tc>
          <w:tcPr>
            <w:tcW w:w="5025" w:type="dxa"/>
            <w:gridSpan w:val="2"/>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rPr>
                <w:sz w:val="28"/>
                <w:szCs w:val="28"/>
                <w:lang w:val="uk-UA" w:eastAsia="uk-UA"/>
              </w:rPr>
            </w:pPr>
            <w:r>
              <w:rPr>
                <w:sz w:val="28"/>
                <w:szCs w:val="28"/>
                <w:lang w:val="uk-UA" w:eastAsia="uk-UA"/>
              </w:rPr>
              <w:t>капіталу, інвестованого в підприємства</w:t>
            </w:r>
          </w:p>
        </w:tc>
        <w:tc>
          <w:tcPr>
            <w:tcW w:w="2121"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UA"/>
              </w:rPr>
            </w:pPr>
            <w:r>
              <w:rPr>
                <w:sz w:val="28"/>
                <w:szCs w:val="28"/>
                <w:lang w:val="uk-UA" w:eastAsia="uk-UA"/>
              </w:rPr>
              <w:t>5211 (5221) «Капітал у підприємствах у формі акцій»;</w:t>
              <w:br w:type="textWrapping"/>
              <w:t>5212 (5222) «Капітал у підприємствах в іншій формі участі у капіталі»;</w:t>
              <w:br w:type="textWrapping"/>
              <w:t>5213 (5223) «Капітал в частках (паях)»</w:t>
            </w:r>
          </w:p>
        </w:tc>
        <w:tc>
          <w:tcPr>
            <w:tcW w:w="2251" w:type="dxa"/>
            <w:gridSpan w:val="3"/>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UA"/>
              </w:rPr>
            </w:pPr>
            <w:r>
              <w:rPr>
                <w:sz w:val="28"/>
                <w:szCs w:val="28"/>
                <w:lang w:val="uk-UA" w:eastAsia="uk-UA"/>
              </w:rPr>
              <w:t>2511 (2521) «Придбані акції»;</w:t>
              <w:br w:type="textWrapping"/>
              <w:t>2512 (2522) «Довгострокові фінансові інвестиції у цінні папери, крім акцій»;</w:t>
              <w:br w:type="textWrapping"/>
              <w:t>2513 (2523) «Довгострокові фінансові інвестиції у капітал підприємств»</w:t>
            </w:r>
          </w:p>
        </w:tc>
      </w:tr>
      <w:tr>
        <w:trPr>
          <w:trHeight w:hRule="atLeast" w:val="285"/>
        </w:trPr>
        <w:tc>
          <w:tcPr>
            <w:tcW w:w="0" w:type="auto"/>
            <w:vMerge w:val="continue"/>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jc w:val="center"/>
              <w:rPr>
                <w:sz w:val="28"/>
                <w:szCs w:val="28"/>
                <w:lang w:val="uk-UA" w:eastAsia="uk-UA"/>
              </w:rPr>
            </w:pPr>
          </w:p>
        </w:tc>
        <w:tc>
          <w:tcPr>
            <w:tcW w:w="5025" w:type="dxa"/>
            <w:gridSpan w:val="2"/>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rPr>
                <w:sz w:val="28"/>
                <w:szCs w:val="28"/>
                <w:lang w:val="uk-UA" w:eastAsia="uk-UA"/>
              </w:rPr>
            </w:pPr>
            <w:r>
              <w:rPr>
                <w:sz w:val="28"/>
                <w:szCs w:val="28"/>
                <w:lang w:val="uk-UA" w:eastAsia="uk-UA"/>
              </w:rPr>
              <w:t>суми різниць</w:t>
            </w:r>
          </w:p>
        </w:tc>
        <w:tc>
          <w:tcPr>
            <w:tcW w:w="2121" w:type="dxa"/>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UA"/>
              </w:rPr>
            </w:pPr>
            <w:r>
              <w:rPr>
                <w:sz w:val="28"/>
                <w:szCs w:val="28"/>
                <w:lang w:val="uk-UA" w:eastAsia="uk-UA"/>
              </w:rPr>
              <w:t>5511 (5521) «Фінансові результати виконання кошторису звітного періоду»</w:t>
            </w:r>
          </w:p>
        </w:tc>
        <w:tc>
          <w:tcPr>
            <w:tcW w:w="2251" w:type="dxa"/>
            <w:gridSpan w:val="3"/>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UA"/>
              </w:rPr>
            </w:pPr>
            <w:r>
              <w:rPr>
                <w:sz w:val="28"/>
                <w:szCs w:val="28"/>
                <w:lang w:val="uk-UA" w:eastAsia="uk-UA"/>
              </w:rPr>
              <w:t>2511 (2521) «Придбані акції»;</w:t>
              <w:br w:type="textWrapping"/>
              <w:t>2512 (2522) «Довгострокові фінансові інвестиції у цінні папери, крім акцій»;</w:t>
              <w:br w:type="textWrapping"/>
              <w:t>2513 (2523) «Довгострокові фінансові інвестиції у капітал підприємств»</w:t>
            </w:r>
          </w:p>
        </w:tc>
      </w:tr>
    </w:tbl>
    <w:p>
      <w:pPr>
        <w:pStyle w:val="P14"/>
        <w:ind w:firstLine="0" w:left="811"/>
        <w:rPr>
          <w:sz w:val="28"/>
          <w:szCs w:val="28"/>
          <w:lang w:val="uk" w:eastAsia="uk"/>
        </w:rPr>
      </w:pPr>
    </w:p>
    <w:p>
      <w:pPr>
        <w:pStyle w:val="P14"/>
        <w:ind w:firstLine="0" w:left="9451"/>
        <w:rPr>
          <w:sz w:val="28"/>
          <w:szCs w:val="28"/>
          <w:lang w:val="uk" w:eastAsia="uk"/>
        </w:rPr>
      </w:pPr>
      <w:r>
        <w:rPr>
          <w:sz w:val="28"/>
          <w:szCs w:val="28"/>
          <w:lang w:val="uk" w:eastAsia="uk"/>
        </w:rPr>
        <w:t>».</w:t>
      </w:r>
    </w:p>
    <w:p>
      <w:pPr>
        <w:pStyle w:val="P14"/>
        <w:ind w:firstLine="0" w:left="811"/>
        <w:rPr>
          <w:sz w:val="28"/>
          <w:szCs w:val="28"/>
          <w:lang w:val="uk" w:eastAsia="uk"/>
        </w:rPr>
      </w:pPr>
    </w:p>
    <w:p>
      <w:pPr>
        <w:pStyle w:val="P14"/>
        <w:rPr>
          <w:sz w:val="28"/>
          <w:szCs w:val="28"/>
          <w:lang w:val="uk-UA" w:eastAsia="uk"/>
        </w:rPr>
      </w:pPr>
      <w:r>
        <w:rPr>
          <w:sz w:val="28"/>
          <w:szCs w:val="28"/>
          <w:lang w:val="uk-UA" w:eastAsia="uk"/>
        </w:rPr>
        <w:t>4. У розділі 5 таблиці </w:t>
      </w:r>
      <w:hyperlink xmlns:r="http://schemas.openxmlformats.org/officeDocument/2006/relationships" r:id="R8" w:anchor="n4" w:tgtFrame="_blank">
        <w:r>
          <w:rPr>
            <w:sz w:val="28"/>
            <w:szCs w:val="28"/>
            <w:lang w:val="uk-UA" w:eastAsia="uk"/>
          </w:rPr>
          <w:t>Типової</w:t>
        </w:r>
      </w:hyperlink>
      <w:hyperlink xmlns:r="http://schemas.openxmlformats.org/officeDocument/2006/relationships" r:id="R9" w:anchor="n4" w:tgtFrame="_blank">
        <w:r>
          <w:rPr>
            <w:sz w:val="28"/>
            <w:szCs w:val="28"/>
            <w:lang w:val="uk-UA" w:eastAsia="uk"/>
          </w:rPr>
          <w:t> кореспонденції субрахунків бухгалтерського обліку для відображення операцій з виконання місцевого бюджету, затвердженої наказом Міністерства фінансів України від 29 грудня 2015 року № 1219, зареєстрованої в Міністерстві юстиції України 16 січня 2016 року за № 88/28218</w:t>
        </w:r>
        <w:r>
          <w:rPr>
            <w:lang w:val="uk"/>
          </w:rPr>
          <w:t xml:space="preserve"> </w:t>
        </w:r>
        <w:r>
          <w:rPr>
            <w:sz w:val="28"/>
            <w:szCs w:val="28"/>
            <w:lang w:val="uk-UA" w:eastAsia="uk"/>
          </w:rPr>
          <w:t xml:space="preserve">(у редакції наказу Міністерства фінансів України від 09 грудня 2019 року № 514), </w:t>
        </w:r>
      </w:hyperlink>
      <w:r>
        <w:rPr>
          <w:sz w:val="28"/>
          <w:szCs w:val="28"/>
          <w:lang w:val="uk-UA" w:eastAsia="uk"/>
        </w:rPr>
        <w:t>після рядка 5.13 доповнити рядком 5.14 такого змісту:</w:t>
      </w:r>
    </w:p>
    <w:p>
      <w:pPr>
        <w:pStyle w:val="P14"/>
        <w:ind w:firstLine="0" w:left="426"/>
        <w:rPr>
          <w:sz w:val="28"/>
          <w:szCs w:val="28"/>
          <w:lang w:val="uk" w:eastAsia="uk"/>
        </w:rPr>
      </w:pPr>
      <w:r>
        <w:rPr>
          <w:sz w:val="28"/>
          <w:szCs w:val="28"/>
          <w:lang w:val="uk" w:eastAsia="uk"/>
        </w:rPr>
        <w:t>«</w:t>
      </w:r>
    </w:p>
    <w:tbl>
      <w:tblPr>
        <w:tblW w:w="5000" w:type="pct"/>
        <w:shd w:val="clear" w:fill="FFFFFF"/>
        <w:tblCellMar>
          <w:top w:w="15" w:type="dxa"/>
          <w:left w:w="15" w:type="dxa"/>
          <w:bottom w:w="15" w:type="dxa"/>
          <w:right w:w="15" w:type="dxa"/>
        </w:tblCellMar>
        <w:tblLook w:val="04A0"/>
      </w:tblPr>
      <w:tblGrid/>
      <w:tr>
        <w:tc>
          <w:tcPr>
            <w:tcW w:w="303" w:type="pct"/>
            <w:vMerge w:val="restar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spacing w:before="150" w:after="150" w:beforeAutospacing="0" w:afterAutospacing="0"/>
              <w:jc w:val="center"/>
              <w:rPr>
                <w:sz w:val="28"/>
                <w:szCs w:val="28"/>
                <w:lang w:val="uk-UA" w:eastAsia="uk-UA"/>
              </w:rPr>
            </w:pPr>
            <w:r>
              <w:rPr>
                <w:sz w:val="28"/>
                <w:szCs w:val="28"/>
                <w:lang w:val="uk-UA" w:eastAsia="uk-UA"/>
              </w:rPr>
              <w:t>5.14</w:t>
            </w:r>
          </w:p>
        </w:tc>
        <w:tc>
          <w:tcPr>
            <w:tcW w:w="1616" w:type="pc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tcPr>
          <w:p>
            <w:pPr>
              <w:spacing w:before="150" w:after="150" w:beforeAutospacing="0" w:afterAutospacing="0"/>
              <w:rPr>
                <w:sz w:val="28"/>
                <w:szCs w:val="28"/>
                <w:lang w:val="uk-UA" w:eastAsia="uk-UA"/>
              </w:rPr>
            </w:pPr>
            <w:r>
              <w:rPr>
                <w:sz w:val="28"/>
                <w:szCs w:val="28"/>
                <w:lang w:val="uk-UA" w:eastAsia="uk-UA"/>
              </w:rPr>
              <w:t>Перерахування коштів іноземної валюти з рахунків місцевих бюджетів, відкритих в установах банків</w:t>
            </w:r>
          </w:p>
        </w:tc>
        <w:tc>
          <w:tcPr>
            <w:tcW w:w="1566" w:type="pc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tcPr>
          <w:p>
            <w:pPr>
              <w:spacing w:before="150" w:after="150" w:beforeAutospacing="0" w:afterAutospacing="0"/>
              <w:rPr>
                <w:sz w:val="28"/>
                <w:szCs w:val="28"/>
                <w:lang w:val="uk-UA" w:eastAsia="uk-UA"/>
              </w:rPr>
            </w:pPr>
            <w:r>
              <w:rPr>
                <w:sz w:val="28"/>
                <w:szCs w:val="28"/>
                <w:lang w:val="uk-UA" w:eastAsia="uk-UA"/>
              </w:rPr>
              <w:t>3242 «Кошти місцевих бюджетів на рахунках в банках»</w:t>
            </w:r>
          </w:p>
        </w:tc>
        <w:tc>
          <w:tcPr>
            <w:tcW w:w="1515" w:type="pc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tcPr>
          <w:p>
            <w:pPr>
              <w:spacing w:before="150" w:after="150" w:beforeAutospacing="0" w:afterAutospacing="0"/>
              <w:rPr>
                <w:sz w:val="28"/>
                <w:szCs w:val="28"/>
                <w:lang w:val="uk-UA" w:eastAsia="uk-UA"/>
              </w:rPr>
            </w:pPr>
            <w:r>
              <w:rPr>
                <w:sz w:val="28"/>
                <w:szCs w:val="28"/>
                <w:lang w:val="uk-UA" w:eastAsia="uk-UA"/>
              </w:rPr>
              <w:t>2341 «Кошти місцевих бюджетів на рахунках в установах банків в іноземній валюті»</w:t>
            </w:r>
          </w:p>
        </w:tc>
      </w:tr>
      <w:tr>
        <w:tc>
          <w:tcPr>
            <w:tcW w:w="0" w:type="auto"/>
            <w:vMerge w:val="continue"/>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rPr>
                <w:sz w:val="28"/>
                <w:szCs w:val="28"/>
                <w:lang w:val="uk-UA" w:eastAsia="uk-UA"/>
              </w:rPr>
            </w:pPr>
          </w:p>
        </w:tc>
        <w:tc>
          <w:tcPr>
            <w:tcW w:w="1616" w:type="pc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tcPr>
          <w:p>
            <w:pPr>
              <w:spacing w:before="150" w:after="150" w:beforeAutospacing="0" w:afterAutospacing="0"/>
              <w:rPr>
                <w:sz w:val="28"/>
                <w:szCs w:val="28"/>
                <w:lang w:val="uk-UA" w:eastAsia="uk-UA"/>
              </w:rPr>
            </w:pPr>
            <w:r>
              <w:rPr>
                <w:sz w:val="28"/>
                <w:szCs w:val="28"/>
                <w:lang w:val="uk-UA" w:eastAsia="uk-UA"/>
              </w:rPr>
              <w:t>Водночас проведення другого запису</w:t>
            </w:r>
          </w:p>
        </w:tc>
        <w:tc>
          <w:tcPr>
            <w:tcW w:w="1566" w:type="pc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tcPr>
          <w:p>
            <w:pPr>
              <w:spacing w:before="150" w:after="150" w:beforeAutospacing="0" w:afterAutospacing="0"/>
              <w:rPr>
                <w:sz w:val="28"/>
                <w:szCs w:val="28"/>
                <w:lang w:val="uk-UA" w:eastAsia="uk-UA"/>
              </w:rPr>
            </w:pPr>
            <w:r>
              <w:rPr>
                <w:sz w:val="28"/>
                <w:szCs w:val="28"/>
                <w:lang w:val="uk-UA" w:eastAsia="uk-UA"/>
              </w:rPr>
              <w:t>3442 «Реєстраційні рахунки розпорядників за коштами місцевих бюджетів»; 3443 «Рахунки одержувачів коштів за коштами місцевих бюджетів»</w:t>
            </w:r>
          </w:p>
        </w:tc>
        <w:tc>
          <w:tcPr>
            <w:tcW w:w="1515" w:type="pc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tcPr>
          <w:p>
            <w:pPr>
              <w:spacing w:before="150" w:after="150" w:beforeAutospacing="0" w:afterAutospacing="0"/>
              <w:rPr>
                <w:sz w:val="28"/>
                <w:szCs w:val="28"/>
                <w:lang w:val="uk-UA" w:eastAsia="uk-UA"/>
              </w:rPr>
            </w:pPr>
            <w:r>
              <w:rPr>
                <w:sz w:val="28"/>
                <w:szCs w:val="28"/>
                <w:lang w:val="uk-UA" w:eastAsia="uk-UA"/>
              </w:rPr>
              <w:t>3241 «Кошти місцевих бюджетів»</w:t>
            </w:r>
          </w:p>
        </w:tc>
      </w:tr>
      <w:tr>
        <w:tc>
          <w:tcPr>
            <w:tcW w:w="0" w:type="auto"/>
            <w:vMerge w:val="continue"/>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hideMark/>
          </w:tcPr>
          <w:p>
            <w:pPr>
              <w:rPr>
                <w:sz w:val="28"/>
                <w:szCs w:val="28"/>
                <w:lang w:val="uk-UA" w:eastAsia="uk-UA"/>
              </w:rPr>
            </w:pPr>
          </w:p>
        </w:tc>
        <w:tc>
          <w:tcPr>
            <w:tcW w:w="1616" w:type="pc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tcPr>
          <w:p>
            <w:pPr>
              <w:spacing w:before="150" w:after="150" w:beforeAutospacing="0" w:afterAutospacing="0"/>
              <w:rPr>
                <w:sz w:val="28"/>
                <w:szCs w:val="28"/>
                <w:lang w:val="uk-UA" w:eastAsia="uk-UA"/>
              </w:rPr>
            </w:pPr>
            <w:r>
              <w:rPr>
                <w:sz w:val="28"/>
                <w:szCs w:val="28"/>
                <w:lang w:val="uk-UA" w:eastAsia="uk-UA"/>
              </w:rPr>
              <w:t>Зараховано кошти іноземної валюти на рахунки розпорядників (одержувачів) бюджетних коштів відкриті в установах банків</w:t>
            </w:r>
          </w:p>
        </w:tc>
        <w:tc>
          <w:tcPr>
            <w:tcW w:w="1566" w:type="pc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tcPr>
          <w:p>
            <w:pPr>
              <w:rPr>
                <w:sz w:val="28"/>
                <w:szCs w:val="28"/>
                <w:lang w:val="uk-UA" w:eastAsia="uk-UA"/>
              </w:rPr>
            </w:pPr>
            <w:r>
              <w:rPr>
                <w:sz w:val="28"/>
                <w:szCs w:val="28"/>
                <w:lang w:val="uk-UA" w:eastAsia="uk-UA"/>
              </w:rPr>
              <w:t>2342 «Кошти місцевих бюджетів на рахунках розпорядників та одержувачів бюджетних коштів відкритих в установах банків»</w:t>
            </w:r>
          </w:p>
        </w:tc>
        <w:tc>
          <w:tcPr>
            <w:tcW w:w="1515" w:type="pct"/>
            <w:tcBorders>
              <w:top w:val="single" w:sz="6" w:space="0" w:shadow="0" w:frame="0" w:color="000000"/>
              <w:left w:val="single" w:sz="6" w:space="0" w:shadow="0" w:frame="0" w:color="000000"/>
              <w:bottom w:val="single" w:sz="6" w:space="0" w:shadow="0" w:frame="0" w:color="000000"/>
              <w:right w:val="single" w:sz="6" w:space="0" w:shadow="0" w:frame="0" w:color="000000"/>
            </w:tcBorders>
            <w:shd w:val="clear" w:color="auto" w:fill="FFFFFF"/>
          </w:tcPr>
          <w:p>
            <w:pPr>
              <w:rPr>
                <w:sz w:val="28"/>
                <w:szCs w:val="28"/>
                <w:lang w:val="uk-UA" w:eastAsia="uk-UA"/>
              </w:rPr>
            </w:pPr>
            <w:r>
              <w:rPr>
                <w:sz w:val="28"/>
                <w:szCs w:val="28"/>
                <w:lang w:val="uk-UA" w:eastAsia="uk-UA"/>
              </w:rPr>
              <w:t xml:space="preserve">3447 «Рахунки розпорядників та одержувачів за коштами місцевих бюджетів  в установах банків в іноземній валюті»</w:t>
            </w:r>
          </w:p>
        </w:tc>
      </w:tr>
    </w:tbl>
    <w:p>
      <w:pPr>
        <w:pStyle w:val="P14"/>
        <w:ind w:firstLine="629" w:left="8731"/>
        <w:rPr>
          <w:sz w:val="28"/>
          <w:szCs w:val="28"/>
          <w:lang w:val="uk" w:eastAsia="uk"/>
        </w:rPr>
      </w:pPr>
      <w:r>
        <w:rPr>
          <w:sz w:val="28"/>
          <w:szCs w:val="28"/>
          <w:lang w:val="uk" w:eastAsia="uk"/>
        </w:rPr>
        <w:t>».</w:t>
      </w:r>
    </w:p>
    <w:p>
      <w:pPr>
        <w:pStyle w:val="P14"/>
        <w:tabs>
          <w:tab w:val="left" w:pos="993" w:leader="none"/>
        </w:tabs>
        <w:spacing w:after="150" w:beforeAutospacing="0" w:afterAutospacing="0"/>
        <w:ind w:firstLine="567"/>
        <w:rPr>
          <w:sz w:val="28"/>
          <w:szCs w:val="28"/>
          <w:lang w:val="uk" w:eastAsia="uk"/>
        </w:rPr>
      </w:pPr>
      <w:r>
        <w:rPr>
          <w:sz w:val="28"/>
          <w:szCs w:val="28"/>
          <w:lang w:val="uk" w:eastAsia="uk"/>
        </w:rPr>
        <w:t>У зв’язку з цим рядки 5.14 – 5.15 вважати рядками 5.15 – 5.16 відповідно.</w:t>
      </w:r>
    </w:p>
    <w:p>
      <w:pPr>
        <w:pStyle w:val="P14"/>
        <w:ind w:firstLine="0" w:left="811"/>
        <w:rPr>
          <w:sz w:val="28"/>
          <w:szCs w:val="28"/>
          <w:lang w:val="uk" w:eastAsia="uk"/>
        </w:rPr>
      </w:pPr>
    </w:p>
    <w:p>
      <w:pPr>
        <w:pStyle w:val="P14"/>
        <w:ind w:firstLine="0" w:left="811"/>
        <w:rPr>
          <w:sz w:val="28"/>
          <w:szCs w:val="28"/>
          <w:lang w:val="uk" w:eastAsia="uk"/>
        </w:rPr>
      </w:pPr>
    </w:p>
    <w:p>
      <w:pPr>
        <w:tabs>
          <w:tab w:val="left" w:pos="3570" w:leader="none"/>
        </w:tabs>
        <w:jc w:val="both"/>
        <w:rPr>
          <w:b w:val="1"/>
          <w:color w:val="000000"/>
          <w:sz w:val="28"/>
          <w:szCs w:val="28"/>
          <w:lang w:val="uk-UA"/>
        </w:rPr>
      </w:pPr>
      <w:r>
        <w:rPr>
          <w:b w:val="1"/>
          <w:color w:val="000000"/>
          <w:sz w:val="28"/>
          <w:szCs w:val="28"/>
          <w:lang w:val="uk-UA"/>
        </w:rPr>
        <w:t xml:space="preserve">Директор Департаменту методології </w:t>
      </w:r>
    </w:p>
    <w:p>
      <w:pPr>
        <w:tabs>
          <w:tab w:val="left" w:pos="3570" w:leader="none"/>
        </w:tabs>
        <w:jc w:val="both"/>
        <w:rPr>
          <w:b w:val="1"/>
          <w:color w:val="000000"/>
          <w:sz w:val="28"/>
          <w:szCs w:val="28"/>
          <w:lang w:val="uk-UA"/>
        </w:rPr>
      </w:pPr>
      <w:r>
        <w:rPr>
          <w:b w:val="1"/>
          <w:color w:val="000000"/>
          <w:sz w:val="28"/>
          <w:szCs w:val="28"/>
          <w:lang w:val="uk-UA"/>
        </w:rPr>
        <w:t xml:space="preserve">бухгалтерського обліку та нормативного </w:t>
      </w:r>
    </w:p>
    <w:p>
      <w:pPr>
        <w:rPr>
          <w:color w:val="000000"/>
          <w:sz w:val="28"/>
          <w:szCs w:val="28"/>
          <w:lang w:val="uk-UA"/>
        </w:rPr>
      </w:pPr>
      <w:r>
        <w:rPr>
          <w:b w:val="1"/>
          <w:color w:val="000000"/>
          <w:sz w:val="28"/>
          <w:szCs w:val="28"/>
          <w:lang w:val="uk-UA"/>
        </w:rPr>
        <w:t xml:space="preserve">забезпечення аудиторської діяльності                                 Людмила ГАПОНЕНКО</w:t>
      </w:r>
    </w:p>
    <w:sectPr>
      <w:headerReference xmlns:r="http://schemas.openxmlformats.org/officeDocument/2006/relationships" w:type="default" r:id="RelHdr1"/>
      <w:footnotePr/>
      <w:endnotePr/>
      <w:type w:val="nextPage"/>
      <w:pgMar w:left="1418" w:right="567" w:top="1134" w:bottom="1134" w:header="720" w:footer="720" w:gutter="0"/>
      <w:cols w:equalWidth="1" w:space="720"/>
      <w:titlePg w:val="1"/>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20"/>
      <w:jc w:val="center"/>
    </w:pPr>
    <w:r>
      <w:fldChar w:fldCharType="begin"/>
    </w:r>
    <w:r>
      <w:instrText xml:space="preserve">PAGE   \* MERGEFORMAT</w:instrText>
    </w:r>
    <w:r>
      <w:fldChar w:fldCharType="separate"/>
    </w:r>
    <w:r>
      <w:rPr>
        <w:noProof w:val="1"/>
        <w:lang w:val="uk-UA"/>
      </w:rPr>
      <w:t>#</w:t>
    </w:r>
    <w:r>
      <w:fldChar w:fldCharType="end"/>
    </w:r>
  </w:p>
  <w:p>
    <w:pPr>
      <w:pStyle w:val="P20"/>
    </w:pPr>
  </w:p>
</w:hdr>
</file>

<file path=word/numbering.xml><?xml version="1.0" encoding="utf-8"?>
<w:numbering xmlns:w="http://schemas.openxmlformats.org/wordprocessingml/2006/main">
  <w:abstractNum w:abstractNumId="0">
    <w:nsid w:val="00000001"/>
    <w:multiLevelType w:val="hybridMultilevel"/>
    <w:lvl w:ilvl="0" w:tplc="D8166E02">
      <w:start w:val="1"/>
      <w:numFmt w:val="bullet"/>
      <w:suff w:val="tab"/>
      <w:lvlText w:val=""/>
      <w:lvlJc w:val="left"/>
      <w:pPr>
        <w:ind w:hanging="360" w:left="720"/>
      </w:pPr>
      <w:rPr>
        <w:rFonts w:ascii="Symbol" w:hAnsi="Symbol"/>
      </w:rPr>
    </w:lvl>
    <w:lvl w:ilvl="1" w:tplc="B894B592">
      <w:start w:val="1"/>
      <w:numFmt w:val="bullet"/>
      <w:suff w:val="tab"/>
      <w:lvlText w:val="o"/>
      <w:lvlJc w:val="left"/>
      <w:pPr>
        <w:ind w:hanging="360" w:left="1440"/>
        <w:tabs>
          <w:tab w:val="num" w:pos="1440" w:leader="none"/>
        </w:tabs>
      </w:pPr>
      <w:rPr>
        <w:rFonts w:ascii="Courier New" w:hAnsi="Courier New"/>
      </w:rPr>
    </w:lvl>
    <w:lvl w:ilvl="2" w:tplc="3848A682">
      <w:start w:val="1"/>
      <w:numFmt w:val="bullet"/>
      <w:suff w:val="tab"/>
      <w:lvlText w:val=""/>
      <w:lvlJc w:val="left"/>
      <w:pPr>
        <w:ind w:hanging="360" w:left="2160"/>
        <w:tabs>
          <w:tab w:val="num" w:pos="2160" w:leader="none"/>
        </w:tabs>
      </w:pPr>
      <w:rPr>
        <w:rFonts w:ascii="Wingdings" w:hAnsi="Wingdings"/>
      </w:rPr>
    </w:lvl>
    <w:lvl w:ilvl="3" w:tplc="4C5CF67E">
      <w:start w:val="1"/>
      <w:numFmt w:val="bullet"/>
      <w:suff w:val="tab"/>
      <w:lvlText w:val=""/>
      <w:lvlJc w:val="left"/>
      <w:pPr>
        <w:ind w:hanging="360" w:left="2880"/>
        <w:tabs>
          <w:tab w:val="num" w:pos="2880" w:leader="none"/>
        </w:tabs>
      </w:pPr>
      <w:rPr>
        <w:rFonts w:ascii="Symbol" w:hAnsi="Symbol"/>
      </w:rPr>
    </w:lvl>
    <w:lvl w:ilvl="4" w:tplc="D5F6EE32">
      <w:start w:val="1"/>
      <w:numFmt w:val="bullet"/>
      <w:suff w:val="tab"/>
      <w:lvlText w:val="o"/>
      <w:lvlJc w:val="left"/>
      <w:pPr>
        <w:ind w:hanging="360" w:left="3600"/>
        <w:tabs>
          <w:tab w:val="num" w:pos="3600" w:leader="none"/>
        </w:tabs>
      </w:pPr>
      <w:rPr>
        <w:rFonts w:ascii="Courier New" w:hAnsi="Courier New"/>
      </w:rPr>
    </w:lvl>
    <w:lvl w:ilvl="5" w:tplc="A5A66F50">
      <w:start w:val="1"/>
      <w:numFmt w:val="bullet"/>
      <w:suff w:val="tab"/>
      <w:lvlText w:val=""/>
      <w:lvlJc w:val="left"/>
      <w:pPr>
        <w:ind w:hanging="360" w:left="4320"/>
        <w:tabs>
          <w:tab w:val="num" w:pos="4320" w:leader="none"/>
        </w:tabs>
      </w:pPr>
      <w:rPr>
        <w:rFonts w:ascii="Wingdings" w:hAnsi="Wingdings"/>
      </w:rPr>
    </w:lvl>
    <w:lvl w:ilvl="6" w:tplc="F0269D76">
      <w:start w:val="1"/>
      <w:numFmt w:val="bullet"/>
      <w:suff w:val="tab"/>
      <w:lvlText w:val=""/>
      <w:lvlJc w:val="left"/>
      <w:pPr>
        <w:ind w:hanging="360" w:left="5040"/>
        <w:tabs>
          <w:tab w:val="num" w:pos="5040" w:leader="none"/>
        </w:tabs>
      </w:pPr>
      <w:rPr>
        <w:rFonts w:ascii="Symbol" w:hAnsi="Symbol"/>
      </w:rPr>
    </w:lvl>
    <w:lvl w:ilvl="7" w:tplc="1E60AFA2">
      <w:start w:val="1"/>
      <w:numFmt w:val="bullet"/>
      <w:suff w:val="tab"/>
      <w:lvlText w:val="o"/>
      <w:lvlJc w:val="left"/>
      <w:pPr>
        <w:ind w:hanging="360" w:left="5760"/>
        <w:tabs>
          <w:tab w:val="num" w:pos="5760" w:leader="none"/>
        </w:tabs>
      </w:pPr>
      <w:rPr>
        <w:rFonts w:ascii="Courier New" w:hAnsi="Courier New"/>
      </w:rPr>
    </w:lvl>
    <w:lvl w:ilvl="8" w:tplc="49967DE6">
      <w:start w:val="1"/>
      <w:numFmt w:val="bullet"/>
      <w:suff w:val="tab"/>
      <w:lvlText w:val=""/>
      <w:lvlJc w:val="left"/>
      <w:pPr>
        <w:ind w:hanging="360" w:left="6480"/>
        <w:tabs>
          <w:tab w:val="num" w:pos="6480" w:leader="none"/>
        </w:tabs>
      </w:pPr>
      <w:rPr>
        <w:rFonts w:ascii="Wingdings" w:hAnsi="Wingdings"/>
      </w:rPr>
    </w:lvl>
  </w:abstractNum>
  <w:abstractNum w:abstractNumId="1">
    <w:nsid w:val="05BC2197"/>
    <w:multiLevelType w:val="hybridMultilevel"/>
    <w:lvl w:ilvl="0" w:tplc="093E1036">
      <w:start w:val="1"/>
      <w:numFmt w:val="decimal"/>
      <w:suff w:val="tab"/>
      <w:lvlText w:val="%1)"/>
      <w:lvlJc w:val="left"/>
      <w:pPr>
        <w:ind w:hanging="360" w:left="810"/>
      </w:pPr>
      <w:rPr/>
    </w:lvl>
    <w:lvl w:ilvl="1" w:tplc="04220019">
      <w:start w:val="1"/>
      <w:numFmt w:val="lowerLetter"/>
      <w:suff w:val="tab"/>
      <w:lvlText w:val="%2."/>
      <w:lvlJc w:val="left"/>
      <w:pPr>
        <w:ind w:hanging="360" w:left="1530"/>
      </w:pPr>
      <w:rPr/>
    </w:lvl>
    <w:lvl w:ilvl="2" w:tplc="0422001B">
      <w:start w:val="1"/>
      <w:numFmt w:val="lowerRoman"/>
      <w:suff w:val="tab"/>
      <w:lvlText w:val="%3."/>
      <w:lvlJc w:val="right"/>
      <w:pPr>
        <w:ind w:hanging="180" w:left="2250"/>
      </w:pPr>
      <w:rPr/>
    </w:lvl>
    <w:lvl w:ilvl="3" w:tplc="0422000F">
      <w:start w:val="1"/>
      <w:numFmt w:val="decimal"/>
      <w:suff w:val="tab"/>
      <w:lvlText w:val="%4."/>
      <w:lvlJc w:val="left"/>
      <w:pPr>
        <w:ind w:hanging="360" w:left="2970"/>
      </w:pPr>
      <w:rPr/>
    </w:lvl>
    <w:lvl w:ilvl="4" w:tplc="04220019">
      <w:start w:val="1"/>
      <w:numFmt w:val="lowerLetter"/>
      <w:suff w:val="tab"/>
      <w:lvlText w:val="%5."/>
      <w:lvlJc w:val="left"/>
      <w:pPr>
        <w:ind w:hanging="360" w:left="3690"/>
      </w:pPr>
      <w:rPr/>
    </w:lvl>
    <w:lvl w:ilvl="5" w:tplc="0422001B">
      <w:start w:val="1"/>
      <w:numFmt w:val="lowerRoman"/>
      <w:suff w:val="tab"/>
      <w:lvlText w:val="%6."/>
      <w:lvlJc w:val="right"/>
      <w:pPr>
        <w:ind w:hanging="180" w:left="4410"/>
      </w:pPr>
      <w:rPr/>
    </w:lvl>
    <w:lvl w:ilvl="6" w:tplc="0422000F">
      <w:start w:val="1"/>
      <w:numFmt w:val="decimal"/>
      <w:suff w:val="tab"/>
      <w:lvlText w:val="%7."/>
      <w:lvlJc w:val="left"/>
      <w:pPr>
        <w:ind w:hanging="360" w:left="5130"/>
      </w:pPr>
      <w:rPr/>
    </w:lvl>
    <w:lvl w:ilvl="7" w:tplc="04220019">
      <w:start w:val="1"/>
      <w:numFmt w:val="lowerLetter"/>
      <w:suff w:val="tab"/>
      <w:lvlText w:val="%8."/>
      <w:lvlJc w:val="left"/>
      <w:pPr>
        <w:ind w:hanging="360" w:left="5850"/>
      </w:pPr>
      <w:rPr/>
    </w:lvl>
    <w:lvl w:ilvl="8" w:tplc="0422001B">
      <w:start w:val="1"/>
      <w:numFmt w:val="lowerRoman"/>
      <w:suff w:val="tab"/>
      <w:lvlText w:val="%9."/>
      <w:lvlJc w:val="right"/>
      <w:pPr>
        <w:ind w:hanging="180" w:left="6570"/>
      </w:pPr>
      <w:rPr/>
    </w:lvl>
  </w:abstractNum>
  <w:abstractNum w:abstractNumId="2">
    <w:nsid w:val="293D4121"/>
    <w:multiLevelType w:val="hybridMultilevel"/>
    <w:lvl w:ilvl="0" w:tplc="237CB218">
      <w:start w:val="1"/>
      <w:numFmt w:val="decimal"/>
      <w:suff w:val="tab"/>
      <w:lvlText w:val="%1)"/>
      <w:lvlJc w:val="left"/>
      <w:pPr>
        <w:ind w:hanging="360" w:left="810"/>
      </w:pPr>
      <w:rPr/>
    </w:lvl>
    <w:lvl w:ilvl="1" w:tplc="04220019">
      <w:start w:val="1"/>
      <w:numFmt w:val="lowerLetter"/>
      <w:suff w:val="tab"/>
      <w:lvlText w:val="%2."/>
      <w:lvlJc w:val="left"/>
      <w:pPr>
        <w:ind w:hanging="360" w:left="1530"/>
      </w:pPr>
      <w:rPr/>
    </w:lvl>
    <w:lvl w:ilvl="2" w:tplc="0422001B">
      <w:start w:val="1"/>
      <w:numFmt w:val="lowerRoman"/>
      <w:suff w:val="tab"/>
      <w:lvlText w:val="%3."/>
      <w:lvlJc w:val="right"/>
      <w:pPr>
        <w:ind w:hanging="180" w:left="2250"/>
      </w:pPr>
      <w:rPr/>
    </w:lvl>
    <w:lvl w:ilvl="3" w:tplc="0422000F">
      <w:start w:val="1"/>
      <w:numFmt w:val="decimal"/>
      <w:suff w:val="tab"/>
      <w:lvlText w:val="%4."/>
      <w:lvlJc w:val="left"/>
      <w:pPr>
        <w:ind w:hanging="360" w:left="2970"/>
      </w:pPr>
      <w:rPr/>
    </w:lvl>
    <w:lvl w:ilvl="4" w:tplc="04220019">
      <w:start w:val="1"/>
      <w:numFmt w:val="lowerLetter"/>
      <w:suff w:val="tab"/>
      <w:lvlText w:val="%5."/>
      <w:lvlJc w:val="left"/>
      <w:pPr>
        <w:ind w:hanging="360" w:left="3690"/>
      </w:pPr>
      <w:rPr/>
    </w:lvl>
    <w:lvl w:ilvl="5" w:tplc="0422001B">
      <w:start w:val="1"/>
      <w:numFmt w:val="lowerRoman"/>
      <w:suff w:val="tab"/>
      <w:lvlText w:val="%6."/>
      <w:lvlJc w:val="right"/>
      <w:pPr>
        <w:ind w:hanging="180" w:left="4410"/>
      </w:pPr>
      <w:rPr/>
    </w:lvl>
    <w:lvl w:ilvl="6" w:tplc="0422000F">
      <w:start w:val="1"/>
      <w:numFmt w:val="decimal"/>
      <w:suff w:val="tab"/>
      <w:lvlText w:val="%7."/>
      <w:lvlJc w:val="left"/>
      <w:pPr>
        <w:ind w:hanging="360" w:left="5130"/>
      </w:pPr>
      <w:rPr/>
    </w:lvl>
    <w:lvl w:ilvl="7" w:tplc="04220019">
      <w:start w:val="1"/>
      <w:numFmt w:val="lowerLetter"/>
      <w:suff w:val="tab"/>
      <w:lvlText w:val="%8."/>
      <w:lvlJc w:val="left"/>
      <w:pPr>
        <w:ind w:hanging="360" w:left="5850"/>
      </w:pPr>
      <w:rPr/>
    </w:lvl>
    <w:lvl w:ilvl="8" w:tplc="0422001B">
      <w:start w:val="1"/>
      <w:numFmt w:val="lowerRoman"/>
      <w:suff w:val="tab"/>
      <w:lvlText w:val="%9."/>
      <w:lvlJc w:val="right"/>
      <w:pPr>
        <w:ind w:hanging="180" w:left="6570"/>
      </w:pPr>
      <w:rPr/>
    </w:lvl>
  </w:abstractNum>
  <w:abstractNum w:abstractNumId="3">
    <w:nsid w:val="3E6F68A2"/>
    <w:multiLevelType w:val="hybridMultilevel"/>
    <w:lvl w:ilvl="0" w:tplc="1D3C0FBA">
      <w:start w:val="1"/>
      <w:numFmt w:val="decimal"/>
      <w:suff w:val="tab"/>
      <w:lvlText w:val="%1."/>
      <w:lvlJc w:val="left"/>
      <w:pPr>
        <w:ind w:hanging="360" w:left="810"/>
      </w:pPr>
      <w:rPr/>
    </w:lvl>
    <w:lvl w:ilvl="1" w:tplc="04220019">
      <w:start w:val="1"/>
      <w:numFmt w:val="lowerLetter"/>
      <w:suff w:val="tab"/>
      <w:lvlText w:val="%2."/>
      <w:lvlJc w:val="left"/>
      <w:pPr>
        <w:ind w:hanging="360" w:left="1530"/>
      </w:pPr>
      <w:rPr/>
    </w:lvl>
    <w:lvl w:ilvl="2" w:tplc="0422001B">
      <w:start w:val="1"/>
      <w:numFmt w:val="lowerRoman"/>
      <w:suff w:val="tab"/>
      <w:lvlText w:val="%3."/>
      <w:lvlJc w:val="right"/>
      <w:pPr>
        <w:ind w:hanging="180" w:left="2250"/>
      </w:pPr>
      <w:rPr/>
    </w:lvl>
    <w:lvl w:ilvl="3" w:tplc="0422000F">
      <w:start w:val="1"/>
      <w:numFmt w:val="decimal"/>
      <w:suff w:val="tab"/>
      <w:lvlText w:val="%4."/>
      <w:lvlJc w:val="left"/>
      <w:pPr>
        <w:ind w:hanging="360" w:left="2970"/>
      </w:pPr>
      <w:rPr/>
    </w:lvl>
    <w:lvl w:ilvl="4" w:tplc="04220019">
      <w:start w:val="1"/>
      <w:numFmt w:val="lowerLetter"/>
      <w:suff w:val="tab"/>
      <w:lvlText w:val="%5."/>
      <w:lvlJc w:val="left"/>
      <w:pPr>
        <w:ind w:hanging="360" w:left="3690"/>
      </w:pPr>
      <w:rPr/>
    </w:lvl>
    <w:lvl w:ilvl="5" w:tplc="0422001B">
      <w:start w:val="1"/>
      <w:numFmt w:val="lowerRoman"/>
      <w:suff w:val="tab"/>
      <w:lvlText w:val="%6."/>
      <w:lvlJc w:val="right"/>
      <w:pPr>
        <w:ind w:hanging="180" w:left="4410"/>
      </w:pPr>
      <w:rPr/>
    </w:lvl>
    <w:lvl w:ilvl="6" w:tplc="0422000F">
      <w:start w:val="1"/>
      <w:numFmt w:val="decimal"/>
      <w:suff w:val="tab"/>
      <w:lvlText w:val="%7."/>
      <w:lvlJc w:val="left"/>
      <w:pPr>
        <w:ind w:hanging="360" w:left="5130"/>
      </w:pPr>
      <w:rPr/>
    </w:lvl>
    <w:lvl w:ilvl="7" w:tplc="04220019">
      <w:start w:val="1"/>
      <w:numFmt w:val="lowerLetter"/>
      <w:suff w:val="tab"/>
      <w:lvlText w:val="%8."/>
      <w:lvlJc w:val="left"/>
      <w:pPr>
        <w:ind w:hanging="360" w:left="5850"/>
      </w:pPr>
      <w:rPr/>
    </w:lvl>
    <w:lvl w:ilvl="8" w:tplc="0422001B">
      <w:start w:val="1"/>
      <w:numFmt w:val="lowerRoman"/>
      <w:suff w:val="tab"/>
      <w:lvlText w:val="%9."/>
      <w:lvlJc w:val="right"/>
      <w:pPr>
        <w:ind w:hanging="180" w:left="6570"/>
      </w:pPr>
      <w:rPr/>
    </w:lvl>
  </w:abstractNum>
  <w:abstractNum w:abstractNumId="4">
    <w:nsid w:val="4FFD606B"/>
    <w:multiLevelType w:val="hybridMultilevel"/>
    <w:lvl w:ilvl="0" w:tplc="F5788C52">
      <w:start w:val="1"/>
      <w:numFmt w:val="decimal"/>
      <w:suff w:val="tab"/>
      <w:lvlText w:val="%1)"/>
      <w:lvlJc w:val="left"/>
      <w:pPr>
        <w:ind w:hanging="360" w:left="810"/>
      </w:pPr>
      <w:rPr/>
    </w:lvl>
    <w:lvl w:ilvl="1" w:tplc="04220019">
      <w:start w:val="1"/>
      <w:numFmt w:val="lowerLetter"/>
      <w:suff w:val="tab"/>
      <w:lvlText w:val="%2."/>
      <w:lvlJc w:val="left"/>
      <w:pPr>
        <w:ind w:hanging="360" w:left="1530"/>
      </w:pPr>
      <w:rPr/>
    </w:lvl>
    <w:lvl w:ilvl="2" w:tplc="0422001B">
      <w:start w:val="1"/>
      <w:numFmt w:val="lowerRoman"/>
      <w:suff w:val="tab"/>
      <w:lvlText w:val="%3."/>
      <w:lvlJc w:val="right"/>
      <w:pPr>
        <w:ind w:hanging="180" w:left="2250"/>
      </w:pPr>
      <w:rPr/>
    </w:lvl>
    <w:lvl w:ilvl="3" w:tplc="0422000F">
      <w:start w:val="1"/>
      <w:numFmt w:val="decimal"/>
      <w:suff w:val="tab"/>
      <w:lvlText w:val="%4."/>
      <w:lvlJc w:val="left"/>
      <w:pPr>
        <w:ind w:hanging="360" w:left="2970"/>
      </w:pPr>
      <w:rPr/>
    </w:lvl>
    <w:lvl w:ilvl="4" w:tplc="04220019">
      <w:start w:val="1"/>
      <w:numFmt w:val="lowerLetter"/>
      <w:suff w:val="tab"/>
      <w:lvlText w:val="%5."/>
      <w:lvlJc w:val="left"/>
      <w:pPr>
        <w:ind w:hanging="360" w:left="3690"/>
      </w:pPr>
      <w:rPr/>
    </w:lvl>
    <w:lvl w:ilvl="5" w:tplc="0422001B">
      <w:start w:val="1"/>
      <w:numFmt w:val="lowerRoman"/>
      <w:suff w:val="tab"/>
      <w:lvlText w:val="%6."/>
      <w:lvlJc w:val="right"/>
      <w:pPr>
        <w:ind w:hanging="180" w:left="4410"/>
      </w:pPr>
      <w:rPr/>
    </w:lvl>
    <w:lvl w:ilvl="6" w:tplc="0422000F">
      <w:start w:val="1"/>
      <w:numFmt w:val="decimal"/>
      <w:suff w:val="tab"/>
      <w:lvlText w:val="%7."/>
      <w:lvlJc w:val="left"/>
      <w:pPr>
        <w:ind w:hanging="360" w:left="5130"/>
      </w:pPr>
      <w:rPr/>
    </w:lvl>
    <w:lvl w:ilvl="7" w:tplc="04220019">
      <w:start w:val="1"/>
      <w:numFmt w:val="lowerLetter"/>
      <w:suff w:val="tab"/>
      <w:lvlText w:val="%8."/>
      <w:lvlJc w:val="left"/>
      <w:pPr>
        <w:ind w:hanging="360" w:left="5850"/>
      </w:pPr>
      <w:rPr/>
    </w:lvl>
    <w:lvl w:ilvl="8" w:tplc="0422001B">
      <w:start w:val="1"/>
      <w:numFmt w:val="lowerRoman"/>
      <w:suff w:val="tab"/>
      <w:lvlText w:val="%9."/>
      <w:lvlJc w:val="right"/>
      <w:pPr>
        <w:ind w:hanging="180" w:left="6570"/>
      </w:pPr>
      <w:rPr/>
    </w:lvl>
  </w:abstractNum>
  <w:abstractNum w:abstractNumId="5">
    <w:nsid w:val="69E5549C"/>
    <w:multiLevelType w:val="hybridMultilevel"/>
    <w:lvl w:ilvl="0" w:tplc="4BA677A8">
      <w:start w:val="1"/>
      <w:numFmt w:val="decimal"/>
      <w:suff w:val="tab"/>
      <w:lvlText w:val="%1."/>
      <w:lvlJc w:val="left"/>
      <w:pPr>
        <w:ind w:hanging="360" w:left="810"/>
      </w:pPr>
      <w:rPr/>
    </w:lvl>
    <w:lvl w:ilvl="1" w:tplc="04220019">
      <w:start w:val="1"/>
      <w:numFmt w:val="lowerLetter"/>
      <w:suff w:val="tab"/>
      <w:lvlText w:val="%2."/>
      <w:lvlJc w:val="left"/>
      <w:pPr>
        <w:ind w:hanging="360" w:left="1530"/>
      </w:pPr>
      <w:rPr/>
    </w:lvl>
    <w:lvl w:ilvl="2" w:tplc="0422001B">
      <w:start w:val="1"/>
      <w:numFmt w:val="lowerRoman"/>
      <w:suff w:val="tab"/>
      <w:lvlText w:val="%3."/>
      <w:lvlJc w:val="right"/>
      <w:pPr>
        <w:ind w:hanging="180" w:left="2250"/>
      </w:pPr>
      <w:rPr/>
    </w:lvl>
    <w:lvl w:ilvl="3" w:tplc="0422000F">
      <w:start w:val="1"/>
      <w:numFmt w:val="decimal"/>
      <w:suff w:val="tab"/>
      <w:lvlText w:val="%4."/>
      <w:lvlJc w:val="left"/>
      <w:pPr>
        <w:ind w:hanging="360" w:left="2970"/>
      </w:pPr>
      <w:rPr/>
    </w:lvl>
    <w:lvl w:ilvl="4" w:tplc="04220019">
      <w:start w:val="1"/>
      <w:numFmt w:val="lowerLetter"/>
      <w:suff w:val="tab"/>
      <w:lvlText w:val="%5."/>
      <w:lvlJc w:val="left"/>
      <w:pPr>
        <w:ind w:hanging="360" w:left="3690"/>
      </w:pPr>
      <w:rPr/>
    </w:lvl>
    <w:lvl w:ilvl="5" w:tplc="0422001B">
      <w:start w:val="1"/>
      <w:numFmt w:val="lowerRoman"/>
      <w:suff w:val="tab"/>
      <w:lvlText w:val="%6."/>
      <w:lvlJc w:val="right"/>
      <w:pPr>
        <w:ind w:hanging="180" w:left="4410"/>
      </w:pPr>
      <w:rPr/>
    </w:lvl>
    <w:lvl w:ilvl="6" w:tplc="0422000F">
      <w:start w:val="1"/>
      <w:numFmt w:val="decimal"/>
      <w:suff w:val="tab"/>
      <w:lvlText w:val="%7."/>
      <w:lvlJc w:val="left"/>
      <w:pPr>
        <w:ind w:hanging="360" w:left="5130"/>
      </w:pPr>
      <w:rPr/>
    </w:lvl>
    <w:lvl w:ilvl="7" w:tplc="04220019">
      <w:start w:val="1"/>
      <w:numFmt w:val="lowerLetter"/>
      <w:suff w:val="tab"/>
      <w:lvlText w:val="%8."/>
      <w:lvlJc w:val="left"/>
      <w:pPr>
        <w:ind w:hanging="360" w:left="5850"/>
      </w:pPr>
      <w:rPr/>
    </w:lvl>
    <w:lvl w:ilvl="8" w:tplc="0422001B">
      <w:start w:val="1"/>
      <w:numFmt w:val="lowerRoman"/>
      <w:suff w:val="tab"/>
      <w:lvlText w:val="%9."/>
      <w:lvlJc w:val="right"/>
      <w:pPr>
        <w:ind w:hanging="180" w:left="6570"/>
      </w:pPr>
      <w:rPr/>
    </w:lvl>
  </w:abstractNum>
  <w:abstractNum w:abstractNumId="6">
    <w:nsid w:val="6A8957E0"/>
    <w:multiLevelType w:val="hybridMultilevel"/>
    <w:lvl w:ilvl="0" w:tplc="093E1036">
      <w:start w:val="1"/>
      <w:numFmt w:val="decimal"/>
      <w:suff w:val="tab"/>
      <w:lvlText w:val="%1)"/>
      <w:lvlJc w:val="left"/>
      <w:pPr>
        <w:ind w:hanging="360" w:left="810"/>
      </w:pPr>
      <w:rPr/>
    </w:lvl>
    <w:lvl w:ilvl="1" w:tplc="04220019">
      <w:start w:val="1"/>
      <w:numFmt w:val="lowerLetter"/>
      <w:suff w:val="tab"/>
      <w:lvlText w:val="%2."/>
      <w:lvlJc w:val="left"/>
      <w:pPr>
        <w:ind w:hanging="360" w:left="1530"/>
      </w:pPr>
      <w:rPr/>
    </w:lvl>
    <w:lvl w:ilvl="2" w:tplc="0422001B">
      <w:start w:val="1"/>
      <w:numFmt w:val="lowerRoman"/>
      <w:suff w:val="tab"/>
      <w:lvlText w:val="%3."/>
      <w:lvlJc w:val="right"/>
      <w:pPr>
        <w:ind w:hanging="180" w:left="2250"/>
      </w:pPr>
      <w:rPr/>
    </w:lvl>
    <w:lvl w:ilvl="3" w:tplc="0422000F">
      <w:start w:val="1"/>
      <w:numFmt w:val="decimal"/>
      <w:suff w:val="tab"/>
      <w:lvlText w:val="%4."/>
      <w:lvlJc w:val="left"/>
      <w:pPr>
        <w:ind w:hanging="360" w:left="2970"/>
      </w:pPr>
      <w:rPr/>
    </w:lvl>
    <w:lvl w:ilvl="4" w:tplc="04220019">
      <w:start w:val="1"/>
      <w:numFmt w:val="lowerLetter"/>
      <w:suff w:val="tab"/>
      <w:lvlText w:val="%5."/>
      <w:lvlJc w:val="left"/>
      <w:pPr>
        <w:ind w:hanging="360" w:left="3690"/>
      </w:pPr>
      <w:rPr/>
    </w:lvl>
    <w:lvl w:ilvl="5" w:tplc="0422001B">
      <w:start w:val="1"/>
      <w:numFmt w:val="lowerRoman"/>
      <w:suff w:val="tab"/>
      <w:lvlText w:val="%6."/>
      <w:lvlJc w:val="right"/>
      <w:pPr>
        <w:ind w:hanging="180" w:left="4410"/>
      </w:pPr>
      <w:rPr/>
    </w:lvl>
    <w:lvl w:ilvl="6" w:tplc="0422000F">
      <w:start w:val="1"/>
      <w:numFmt w:val="decimal"/>
      <w:suff w:val="tab"/>
      <w:lvlText w:val="%7."/>
      <w:lvlJc w:val="left"/>
      <w:pPr>
        <w:ind w:hanging="360" w:left="5130"/>
      </w:pPr>
      <w:rPr/>
    </w:lvl>
    <w:lvl w:ilvl="7" w:tplc="04220019">
      <w:start w:val="1"/>
      <w:numFmt w:val="lowerLetter"/>
      <w:suff w:val="tab"/>
      <w:lvlText w:val="%8."/>
      <w:lvlJc w:val="left"/>
      <w:pPr>
        <w:ind w:hanging="360" w:left="5850"/>
      </w:pPr>
      <w:rPr/>
    </w:lvl>
    <w:lvl w:ilvl="8" w:tplc="0422001B">
      <w:start w:val="1"/>
      <w:numFmt w:val="lowerRoman"/>
      <w:suff w:val="tab"/>
      <w:lvlText w:val="%9."/>
      <w:lvlJc w:val="right"/>
      <w:pPr>
        <w:ind w:hanging="180" w:left="6570"/>
      </w:pPr>
      <w:rPr/>
    </w:lvl>
  </w:abstractNum>
  <w:abstractNum w:abstractNumId="7">
    <w:nsid w:val="6B6F4C30"/>
    <w:multiLevelType w:val="hybridMultilevel"/>
    <w:lvl w:ilvl="0" w:tplc="46E4F49A">
      <w:start w:val="1"/>
      <w:numFmt w:val="decimal"/>
      <w:suff w:val="tab"/>
      <w:lvlText w:val="%1."/>
      <w:lvlJc w:val="left"/>
      <w:pPr>
        <w:ind w:hanging="360" w:left="810"/>
      </w:pPr>
      <w:rPr>
        <w:color w:val="333333"/>
        <w:sz w:val="24"/>
      </w:rPr>
    </w:lvl>
    <w:lvl w:ilvl="1" w:tplc="04220019">
      <w:start w:val="1"/>
      <w:numFmt w:val="lowerLetter"/>
      <w:suff w:val="tab"/>
      <w:lvlText w:val="%2."/>
      <w:lvlJc w:val="left"/>
      <w:pPr>
        <w:ind w:hanging="360" w:left="1530"/>
      </w:pPr>
      <w:rPr/>
    </w:lvl>
    <w:lvl w:ilvl="2" w:tplc="0422001B">
      <w:start w:val="1"/>
      <w:numFmt w:val="lowerRoman"/>
      <w:suff w:val="tab"/>
      <w:lvlText w:val="%3."/>
      <w:lvlJc w:val="right"/>
      <w:pPr>
        <w:ind w:hanging="180" w:left="2250"/>
      </w:pPr>
      <w:rPr/>
    </w:lvl>
    <w:lvl w:ilvl="3" w:tplc="0422000F">
      <w:start w:val="1"/>
      <w:numFmt w:val="decimal"/>
      <w:suff w:val="tab"/>
      <w:lvlText w:val="%4."/>
      <w:lvlJc w:val="left"/>
      <w:pPr>
        <w:ind w:hanging="360" w:left="2970"/>
      </w:pPr>
      <w:rPr/>
    </w:lvl>
    <w:lvl w:ilvl="4" w:tplc="04220019">
      <w:start w:val="1"/>
      <w:numFmt w:val="lowerLetter"/>
      <w:suff w:val="tab"/>
      <w:lvlText w:val="%5."/>
      <w:lvlJc w:val="left"/>
      <w:pPr>
        <w:ind w:hanging="360" w:left="3690"/>
      </w:pPr>
      <w:rPr/>
    </w:lvl>
    <w:lvl w:ilvl="5" w:tplc="0422001B">
      <w:start w:val="1"/>
      <w:numFmt w:val="lowerRoman"/>
      <w:suff w:val="tab"/>
      <w:lvlText w:val="%6."/>
      <w:lvlJc w:val="right"/>
      <w:pPr>
        <w:ind w:hanging="180" w:left="4410"/>
      </w:pPr>
      <w:rPr/>
    </w:lvl>
    <w:lvl w:ilvl="6" w:tplc="0422000F">
      <w:start w:val="1"/>
      <w:numFmt w:val="decimal"/>
      <w:suff w:val="tab"/>
      <w:lvlText w:val="%7."/>
      <w:lvlJc w:val="left"/>
      <w:pPr>
        <w:ind w:hanging="360" w:left="5130"/>
      </w:pPr>
      <w:rPr/>
    </w:lvl>
    <w:lvl w:ilvl="7" w:tplc="04220019">
      <w:start w:val="1"/>
      <w:numFmt w:val="lowerLetter"/>
      <w:suff w:val="tab"/>
      <w:lvlText w:val="%8."/>
      <w:lvlJc w:val="left"/>
      <w:pPr>
        <w:ind w:hanging="360" w:left="5850"/>
      </w:pPr>
      <w:rPr/>
    </w:lvl>
    <w:lvl w:ilvl="8" w:tplc="0422001B">
      <w:start w:val="1"/>
      <w:numFmt w:val="lowerRoman"/>
      <w:suff w:val="tab"/>
      <w:lvlText w:val="%9."/>
      <w:lvlJc w:val="right"/>
      <w:pPr>
        <w:ind w:hanging="180" w:left="6570"/>
      </w:pPr>
      <w:rPr/>
    </w:lvl>
  </w:abstractNum>
  <w:num w:numId="1">
    <w:abstractNumId w:val="0"/>
  </w:num>
  <w:num w:numId="2">
    <w:abstractNumId w:val="3"/>
  </w:num>
  <w:num w:numId="3">
    <w:abstractNumId w:val="7"/>
  </w:num>
  <w:num w:numId="4">
    <w:abstractNumId w:val="5"/>
  </w:num>
  <w:num w:numId="5">
    <w:abstractNumId w:val="4"/>
  </w:num>
  <w:num w:numId="6">
    <w:abstractNumId w:val="2"/>
  </w:num>
  <w:num w:numId="7">
    <w:abstractNumId w:val="6"/>
  </w:num>
  <w:num w:numId="8">
    <w:abstractNumId w:val="1"/>
  </w:num>
</w:numbering>
</file>

<file path=word/settings.xml><?xml version="1.0" encoding="utf-8"?>
<w:settings xmlns:w="http://schemas.openxmlformats.org/wordprocessingml/2006/main">
  <w:displayBackgroundShape w:val="0"/>
  <w:defaultTabStop w:val="720"/>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imes New Roman" w:hAnsi="Times New Roman"/>
        <w:sz w:val="20"/>
        <w:szCs w:val="22"/>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z w:val="24"/>
      <w:szCs w:val="24"/>
    </w:rPr>
  </w:style>
  <w:style w:type="paragraph" w:styleId="P1">
    <w:name w:val="heading 1"/>
    <w:basedOn w:val="P0"/>
    <w:next w:val="P0"/>
    <w:link w:val="C3"/>
    <w:qFormat/>
    <w:pPr>
      <w:keepNext w:val="1"/>
      <w:keepLines w:val="1"/>
      <w:spacing w:before="240" w:beforeAutospacing="0" w:afterAutospacing="0"/>
      <w:outlineLvl w:val="0"/>
    </w:pPr>
    <w:rPr>
      <w:b w:val="1"/>
      <w:bCs w:val="1"/>
      <w:color w:val="2F5496"/>
      <w:sz w:val="48"/>
      <w:szCs w:val="48"/>
      <w:kern w:val="36"/>
    </w:rPr>
  </w:style>
  <w:style w:type="paragraph" w:styleId="P2">
    <w:name w:val="heading 2"/>
    <w:basedOn w:val="P0"/>
    <w:next w:val="P0"/>
    <w:link w:val="C4"/>
    <w:qFormat/>
    <w:pPr>
      <w:keepNext w:val="1"/>
      <w:keepLines w:val="1"/>
      <w:spacing w:before="40" w:beforeAutospacing="0" w:afterAutospacing="0"/>
      <w:outlineLvl w:val="1"/>
    </w:pPr>
    <w:rPr>
      <w:b w:val="1"/>
      <w:bCs w:val="1"/>
      <w:color w:val="2F5496"/>
      <w:sz w:val="36"/>
      <w:szCs w:val="36"/>
    </w:rPr>
  </w:style>
  <w:style w:type="paragraph" w:styleId="P3">
    <w:name w:val="heading 3"/>
    <w:basedOn w:val="P0"/>
    <w:next w:val="P0"/>
    <w:link w:val="C5"/>
    <w:qFormat/>
    <w:pPr>
      <w:keepNext w:val="1"/>
      <w:keepLines w:val="1"/>
      <w:spacing w:before="40" w:beforeAutospacing="0" w:afterAutospacing="0"/>
      <w:outlineLvl w:val="2"/>
    </w:pPr>
    <w:rPr>
      <w:b w:val="1"/>
      <w:bCs w:val="1"/>
      <w:color w:val="1F3763"/>
      <w:sz w:val="28"/>
      <w:szCs w:val="28"/>
    </w:rPr>
  </w:style>
  <w:style w:type="paragraph" w:styleId="P4">
    <w:name w:val="heading 4"/>
    <w:basedOn w:val="P0"/>
    <w:next w:val="P0"/>
    <w:link w:val="C6"/>
    <w:qFormat/>
    <w:pPr>
      <w:keepNext w:val="1"/>
      <w:keepLines w:val="1"/>
      <w:spacing w:before="40" w:beforeAutospacing="0" w:afterAutospacing="0"/>
      <w:outlineLvl w:val="3"/>
    </w:pPr>
    <w:rPr>
      <w:b w:val="1"/>
      <w:bCs w:val="1"/>
      <w:iCs w:val="1"/>
      <w:color w:val="2F5496"/>
    </w:rPr>
  </w:style>
  <w:style w:type="paragraph" w:styleId="P5">
    <w:name w:val="heading 5"/>
    <w:basedOn w:val="P0"/>
    <w:next w:val="P0"/>
    <w:link w:val="C7"/>
    <w:qFormat/>
    <w:pPr>
      <w:keepNext w:val="1"/>
      <w:keepLines w:val="1"/>
      <w:spacing w:before="40" w:beforeAutospacing="0" w:afterAutospacing="0"/>
      <w:outlineLvl w:val="4"/>
    </w:pPr>
    <w:rPr>
      <w:b w:val="1"/>
      <w:bCs w:val="1"/>
      <w:color w:val="2F5496"/>
      <w:sz w:val="20"/>
      <w:szCs w:val="20"/>
    </w:rPr>
  </w:style>
  <w:style w:type="paragraph" w:styleId="P6">
    <w:name w:val="heading 6"/>
    <w:basedOn w:val="P0"/>
    <w:next w:val="P0"/>
    <w:link w:val="C8"/>
    <w:qFormat/>
    <w:pPr>
      <w:keepNext w:val="1"/>
      <w:keepLines w:val="1"/>
      <w:spacing w:before="40" w:beforeAutospacing="0" w:afterAutospacing="0"/>
      <w:outlineLvl w:val="5"/>
    </w:pPr>
    <w:rPr>
      <w:b w:val="1"/>
      <w:bCs w:val="1"/>
      <w:color w:val="1F3763"/>
      <w:sz w:val="16"/>
      <w:szCs w:val="16"/>
    </w:rPr>
  </w:style>
  <w:style w:type="paragraph" w:styleId="P7">
    <w:name w:val="rvps14"/>
    <w:basedOn w:val="P0"/>
    <w:pPr/>
    <w:rPr/>
  </w:style>
  <w:style w:type="paragraph" w:styleId="P8">
    <w:name w:val="rvps4"/>
    <w:basedOn w:val="P0"/>
    <w:pPr>
      <w:jc w:val="center"/>
    </w:pPr>
    <w:rPr/>
  </w:style>
  <w:style w:type="paragraph" w:styleId="P9">
    <w:name w:val="rvps1"/>
    <w:basedOn w:val="P0"/>
    <w:pPr>
      <w:jc w:val="center"/>
    </w:pPr>
    <w:rPr/>
  </w:style>
  <w:style w:type="paragraph" w:styleId="P10">
    <w:name w:val="rvps7"/>
    <w:basedOn w:val="P0"/>
    <w:pPr>
      <w:jc w:val="center"/>
    </w:pPr>
    <w:rPr/>
  </w:style>
  <w:style w:type="paragraph" w:styleId="P11">
    <w:name w:val="rvps8"/>
    <w:basedOn w:val="P0"/>
    <w:pPr>
      <w:jc w:val="both"/>
    </w:pPr>
    <w:rPr/>
  </w:style>
  <w:style w:type="paragraph" w:styleId="P12">
    <w:name w:val="rvps6"/>
    <w:basedOn w:val="P0"/>
    <w:pPr>
      <w:jc w:val="center"/>
    </w:pPr>
    <w:rPr/>
  </w:style>
  <w:style w:type="paragraph" w:styleId="P13">
    <w:name w:val="rvps18"/>
    <w:basedOn w:val="P0"/>
    <w:pPr/>
    <w:rPr/>
  </w:style>
  <w:style w:type="paragraph" w:styleId="P14">
    <w:name w:val="rvps2"/>
    <w:basedOn w:val="P0"/>
    <w:pPr>
      <w:ind w:firstLine="450"/>
      <w:jc w:val="both"/>
    </w:pPr>
    <w:rPr/>
  </w:style>
  <w:style w:type="paragraph" w:styleId="P15">
    <w:name w:val="rvps15"/>
    <w:basedOn w:val="P0"/>
    <w:pPr>
      <w:jc w:val="right"/>
    </w:pPr>
    <w:rPr/>
  </w:style>
  <w:style w:type="paragraph" w:styleId="P16">
    <w:name w:val="break"/>
    <w:basedOn w:val="P0"/>
    <w:pPr>
      <w:pageBreakBefore w:val="1"/>
    </w:pPr>
    <w:rPr/>
  </w:style>
  <w:style w:type="paragraph" w:styleId="P17">
    <w:name w:val="rvps11"/>
    <w:basedOn w:val="P0"/>
    <w:pPr>
      <w:jc w:val="right"/>
    </w:pPr>
    <w:rPr/>
  </w:style>
  <w:style w:type="paragraph" w:styleId="P18">
    <w:name w:val="stamp"/>
    <w:basedOn w:val="P0"/>
    <w:pPr/>
    <w:rPr/>
  </w:style>
  <w:style w:type="paragraph" w:styleId="P19">
    <w:name w:val="annotation text"/>
    <w:basedOn w:val="P0"/>
    <w:link w:val="C21"/>
    <w:semiHidden/>
    <w:pPr>
      <w:spacing w:after="160" w:beforeAutospacing="0" w:afterAutospacing="0"/>
    </w:pPr>
    <w:rPr>
      <w:sz w:val="20"/>
      <w:szCs w:val="20"/>
      <w:lang w:val="uk-UA"/>
    </w:rPr>
  </w:style>
  <w:style w:type="paragraph" w:styleId="P20">
    <w:name w:val="header"/>
    <w:basedOn w:val="P0"/>
    <w:link w:val="C22"/>
    <w:pPr>
      <w:tabs>
        <w:tab w:val="center" w:pos="4819" w:leader="none"/>
        <w:tab w:val="right" w:pos="9639" w:leader="none"/>
      </w:tabs>
    </w:pPr>
    <w:rPr/>
  </w:style>
  <w:style w:type="paragraph" w:styleId="P21">
    <w:name w:val="footer"/>
    <w:basedOn w:val="P0"/>
    <w:link w:val="C23"/>
    <w:pPr>
      <w:tabs>
        <w:tab w:val="center" w:pos="4819" w:leader="none"/>
        <w:tab w:val="right" w:pos="9639" w:leader="none"/>
      </w:tabs>
    </w:pPr>
    <w:rPr/>
  </w:style>
  <w:style w:type="paragraph" w:styleId="P22">
    <w:name w:val="Balloon Text"/>
    <w:basedOn w:val="P0"/>
    <w:link w:val="C24"/>
    <w:semiHidden/>
    <w:pPr/>
    <w:rPr>
      <w:rFonts w:ascii="Segoe UI" w:hAnsi="Segoe UI"/>
      <w:sz w:val="18"/>
      <w:szCs w:val="18"/>
    </w:rPr>
  </w:style>
  <w:style w:type="paragraph" w:styleId="P23">
    <w:name w:val="rvps12"/>
    <w:basedOn w:val="P0"/>
    <w:pPr>
      <w:spacing w:before="100" w:after="100" w:beforeAutospacing="1" w:afterAutospacing="1"/>
    </w:pPr>
    <w:rPr>
      <w:lang w:val="uk-UA" w:eastAsia="uk-UA"/>
    </w:rPr>
  </w:style>
  <w:style w:type="paragraph" w:styleId="P24">
    <w:name w:val="annotation subject"/>
    <w:basedOn w:val="P19"/>
    <w:next w:val="P19"/>
    <w:link w:val="C25"/>
    <w:semiHidden/>
    <w:pPr>
      <w:spacing w:after="0" w:beforeAutospacing="0" w:afterAutospacing="0"/>
    </w:pPr>
    <w:rPr>
      <w:rFonts w:ascii="Times New Roman" w:hAnsi="Times New Roman"/>
      <w:b w:val="1"/>
      <w:bCs w:val="1"/>
      <w:lang w:val="en-US"/>
    </w:rPr>
  </w:style>
  <w:style w:type="paragraph" w:styleId="P25">
    <w:name w:val="footnote text"/>
    <w:link w:val="C27"/>
    <w:semiHidden/>
    <w:pPr>
      <w:spacing w:lineRule="auto" w:line="240" w:after="0"/>
    </w:pPr>
    <w:rPr>
      <w:sz w:val="20"/>
      <w:szCs w:val="20"/>
    </w:rPr>
  </w:style>
  <w:style w:type="paragraph" w:styleId="P26">
    <w:name w:val="endnote text"/>
    <w:link w:val="C29"/>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Заголовок 1 Знак"/>
    <w:basedOn w:val="C0"/>
    <w:link w:val="P1"/>
    <w:rPr>
      <w:rFonts w:ascii="Calibri Light" w:hAnsi="Calibri Light"/>
      <w:color w:val="2F5496"/>
      <w:sz w:val="32"/>
      <w:szCs w:val="32"/>
    </w:rPr>
  </w:style>
  <w:style w:type="character" w:styleId="C4">
    <w:name w:val="Заголовок 2 Знак"/>
    <w:basedOn w:val="C0"/>
    <w:link w:val="P2"/>
    <w:rPr>
      <w:rFonts w:ascii="Calibri Light" w:hAnsi="Calibri Light"/>
      <w:color w:val="2F5496"/>
      <w:sz w:val="26"/>
      <w:szCs w:val="26"/>
    </w:rPr>
  </w:style>
  <w:style w:type="character" w:styleId="C5">
    <w:name w:val="Заголовок 3 Знак"/>
    <w:basedOn w:val="C0"/>
    <w:link w:val="P3"/>
    <w:rPr>
      <w:rFonts w:ascii="Calibri Light" w:hAnsi="Calibri Light"/>
      <w:color w:val="1F3763"/>
      <w:sz w:val="24"/>
      <w:szCs w:val="24"/>
    </w:rPr>
  </w:style>
  <w:style w:type="character" w:styleId="C6">
    <w:name w:val="Заголовок 4 Знак"/>
    <w:basedOn w:val="C0"/>
    <w:link w:val="P4"/>
    <w:rPr>
      <w:rFonts w:ascii="Calibri Light" w:hAnsi="Calibri Light"/>
      <w:i w:val="1"/>
      <w:iCs w:val="1"/>
      <w:color w:val="2F5496"/>
    </w:rPr>
  </w:style>
  <w:style w:type="character" w:styleId="C7">
    <w:name w:val="Заголовок 5 Знак"/>
    <w:basedOn w:val="C0"/>
    <w:link w:val="P5"/>
    <w:rPr>
      <w:rFonts w:ascii="Calibri Light" w:hAnsi="Calibri Light"/>
      <w:color w:val="2F5496"/>
    </w:rPr>
  </w:style>
  <w:style w:type="character" w:styleId="C8">
    <w:name w:val="Заголовок 6 Знак"/>
    <w:basedOn w:val="C0"/>
    <w:link w:val="P6"/>
    <w:rPr>
      <w:rFonts w:ascii="Calibri Light" w:hAnsi="Calibri Light"/>
      <w:color w:val="1F3763"/>
    </w:rPr>
  </w:style>
  <w:style w:type="character" w:styleId="C9">
    <w:name w:val="span_rvts15"/>
    <w:basedOn w:val="C0"/>
    <w:rPr>
      <w:rFonts w:ascii="Times New Roman" w:hAnsi="Times New Roman"/>
      <w:b w:val="1"/>
      <w:i w:val="0"/>
      <w:bCs w:val="1"/>
      <w:iCs w:val="0"/>
      <w:sz w:val="28"/>
      <w:szCs w:val="28"/>
    </w:rPr>
  </w:style>
  <w:style w:type="character" w:styleId="C10">
    <w:name w:val="span_rvts23"/>
    <w:basedOn w:val="C0"/>
    <w:rPr>
      <w:rFonts w:ascii="Times New Roman" w:hAnsi="Times New Roman"/>
      <w:b w:val="1"/>
      <w:i w:val="0"/>
      <w:bCs w:val="1"/>
      <w:iCs w:val="0"/>
      <w:sz w:val="32"/>
      <w:szCs w:val="32"/>
    </w:rPr>
  </w:style>
  <w:style w:type="character" w:styleId="C11">
    <w:name w:val="span_rvts9"/>
    <w:basedOn w:val="C0"/>
    <w:rPr>
      <w:rFonts w:ascii="Times New Roman" w:hAnsi="Times New Roman"/>
      <w:b w:val="1"/>
      <w:i w:val="0"/>
      <w:bCs w:val="1"/>
      <w:iCs w:val="0"/>
      <w:sz w:val="24"/>
      <w:szCs w:val="24"/>
    </w:rPr>
  </w:style>
  <w:style w:type="character" w:styleId="C12">
    <w:name w:val="a_rvts96"/>
    <w:basedOn w:val="C0"/>
    <w:rPr>
      <w:rFonts w:ascii="Times New Roman" w:hAnsi="Times New Roman"/>
      <w:b w:val="0"/>
      <w:i w:val="0"/>
      <w:bCs w:val="0"/>
      <w:iCs w:val="0"/>
      <w:color w:val="000099"/>
      <w:sz w:val="24"/>
      <w:szCs w:val="24"/>
    </w:rPr>
  </w:style>
  <w:style w:type="character" w:styleId="C13">
    <w:name w:val="span_rvts52"/>
    <w:basedOn w:val="C0"/>
    <w:rPr>
      <w:rFonts w:ascii="Times New Roman" w:hAnsi="Times New Roman"/>
      <w:b w:val="1"/>
      <w:i w:val="0"/>
      <w:bCs w:val="1"/>
      <w:iCs w:val="0"/>
      <w:sz w:val="24"/>
      <w:szCs w:val="24"/>
      <w:spacing w:val="30"/>
    </w:rPr>
  </w:style>
  <w:style w:type="character" w:styleId="C14">
    <w:name w:val="a_rvts99"/>
    <w:basedOn w:val="C0"/>
    <w:rPr>
      <w:rFonts w:ascii="Times New Roman" w:hAnsi="Times New Roman"/>
      <w:b w:val="0"/>
      <w:i w:val="0"/>
      <w:bCs w:val="0"/>
      <w:iCs w:val="0"/>
      <w:color w:val="006600"/>
      <w:sz w:val="24"/>
      <w:szCs w:val="24"/>
    </w:rPr>
  </w:style>
  <w:style w:type="character" w:styleId="C15">
    <w:name w:val="span_rvts44"/>
    <w:basedOn w:val="C0"/>
    <w:rPr>
      <w:rFonts w:ascii="Times New Roman" w:hAnsi="Times New Roman"/>
      <w:b w:val="1"/>
      <w:i w:val="0"/>
      <w:bCs w:val="1"/>
      <w:iCs w:val="0"/>
      <w:sz w:val="24"/>
      <w:szCs w:val="24"/>
    </w:rPr>
  </w:style>
  <w:style w:type="character" w:styleId="C16">
    <w:name w:val="span_rvts46"/>
    <w:basedOn w:val="C0"/>
    <w:rPr>
      <w:rFonts w:ascii="Times New Roman" w:hAnsi="Times New Roman"/>
      <w:b w:val="0"/>
      <w:i w:val="1"/>
      <w:bCs w:val="0"/>
      <w:iCs w:val="1"/>
      <w:sz w:val="24"/>
      <w:szCs w:val="24"/>
    </w:rPr>
  </w:style>
  <w:style w:type="character" w:styleId="C17">
    <w:name w:val="span_rvts11"/>
    <w:basedOn w:val="C0"/>
    <w:rPr>
      <w:rFonts w:ascii="Times New Roman" w:hAnsi="Times New Roman"/>
      <w:b w:val="0"/>
      <w:i w:val="1"/>
      <w:bCs w:val="0"/>
      <w:iCs w:val="1"/>
      <w:sz w:val="24"/>
      <w:szCs w:val="24"/>
    </w:rPr>
  </w:style>
  <w:style w:type="character" w:styleId="C18">
    <w:name w:val="a_rvts100"/>
    <w:basedOn w:val="C0"/>
    <w:rPr>
      <w:rFonts w:ascii="Times New Roman" w:hAnsi="Times New Roman"/>
      <w:b w:val="0"/>
      <w:i w:val="1"/>
      <w:bCs w:val="0"/>
      <w:iCs w:val="1"/>
      <w:color w:val="000099"/>
      <w:sz w:val="24"/>
      <w:szCs w:val="24"/>
    </w:rPr>
  </w:style>
  <w:style w:type="character" w:styleId="C19">
    <w:name w:val="span_rvts48"/>
    <w:basedOn w:val="C0"/>
    <w:rPr>
      <w:rFonts w:ascii="Times New Roman" w:hAnsi="Times New Roman"/>
      <w:b w:val="1"/>
      <w:i w:val="1"/>
      <w:bCs w:val="1"/>
      <w:iCs w:val="1"/>
      <w:sz w:val="24"/>
      <w:szCs w:val="24"/>
    </w:rPr>
  </w:style>
  <w:style w:type="character" w:styleId="C20">
    <w:name w:val="annotation reference"/>
    <w:basedOn w:val="C0"/>
    <w:semiHidden/>
    <w:rPr>
      <w:sz w:val="16"/>
      <w:szCs w:val="16"/>
    </w:rPr>
  </w:style>
  <w:style w:type="character" w:styleId="C21">
    <w:name w:val="Текст примітки Знак"/>
    <w:basedOn w:val="C0"/>
    <w:link w:val="P19"/>
    <w:semiHidden/>
    <w:rPr>
      <w:lang w:val="uk-UA"/>
    </w:rPr>
  </w:style>
  <w:style w:type="character" w:styleId="C22">
    <w:name w:val="Верхній колонтитул Знак"/>
    <w:basedOn w:val="C0"/>
    <w:link w:val="P20"/>
    <w:rPr>
      <w:sz w:val="24"/>
      <w:szCs w:val="24"/>
    </w:rPr>
  </w:style>
  <w:style w:type="character" w:styleId="C23">
    <w:name w:val="Нижній колонтитул Знак"/>
    <w:basedOn w:val="C0"/>
    <w:link w:val="P21"/>
    <w:rPr>
      <w:sz w:val="24"/>
      <w:szCs w:val="24"/>
    </w:rPr>
  </w:style>
  <w:style w:type="character" w:styleId="C24">
    <w:name w:val="Текст у виносці Знак"/>
    <w:basedOn w:val="C0"/>
    <w:link w:val="P22"/>
    <w:semiHidden/>
    <w:rPr>
      <w:rFonts w:ascii="Segoe UI" w:hAnsi="Segoe UI"/>
      <w:sz w:val="18"/>
      <w:szCs w:val="18"/>
    </w:rPr>
  </w:style>
  <w:style w:type="character" w:styleId="C25">
    <w:name w:val="Тема примітки Знак"/>
    <w:basedOn w:val="C21"/>
    <w:link w:val="P24"/>
    <w:semiHidden/>
    <w:rPr>
      <w:b w:val="1"/>
      <w:bCs w:val="1"/>
      <w:lang w:val="uk-UA"/>
    </w:rPr>
  </w:style>
  <w:style w:type="character" w:styleId="C26">
    <w:name w:val="footnote reference"/>
    <w:semiHidden/>
    <w:rPr>
      <w:vertAlign w:val="superscript"/>
    </w:rPr>
  </w:style>
  <w:style w:type="character" w:styleId="C27">
    <w:name w:val="Footnote Text Char"/>
    <w:link w:val="P25"/>
    <w:semiHidden/>
    <w:rPr>
      <w:sz w:val="20"/>
      <w:szCs w:val="20"/>
    </w:rPr>
  </w:style>
  <w:style w:type="character" w:styleId="C28">
    <w:name w:val="endnote reference"/>
    <w:semiHidden/>
    <w:rPr>
      <w:vertAlign w:val="superscript"/>
    </w:rPr>
  </w:style>
  <w:style w:type="character" w:styleId="C29">
    <w:name w:val="Endnote Text Char"/>
    <w:link w:val="P26"/>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article_table"/>
    <w:basedOn w:val="T0"/>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zakon.rada.gov.ua/laws/show/z0161-14" TargetMode="External" /><Relationship Id="R3" Type="http://schemas.openxmlformats.org/officeDocument/2006/relationships/hyperlink" Target="https://zakon.rada.gov.ua/laws/show/z0085-16" TargetMode="External" /><Relationship Id="R4" Type="http://schemas.openxmlformats.org/officeDocument/2006/relationships/hyperlink" Target="https://zakon.rada.gov.ua/laws/show/z0085-16" TargetMode="External" /><Relationship Id="R5" Type="http://schemas.openxmlformats.org/officeDocument/2006/relationships/hyperlink" Target="https://zakon.rada.gov.ua/laws/show/z0085-16" TargetMode="External" /><Relationship Id="R6" Type="http://schemas.openxmlformats.org/officeDocument/2006/relationships/hyperlink" Target="https://zakon.rada.gov.ua/laws/show/z0087-16" TargetMode="External" /><Relationship Id="R7" Type="http://schemas.openxmlformats.org/officeDocument/2006/relationships/hyperlink" Target="https://zakon.rada.gov.ua/laws/show/z0087-16" TargetMode="External" /><Relationship Id="R8" Type="http://schemas.openxmlformats.org/officeDocument/2006/relationships/hyperlink" Target="https://zakon.rada.gov.ua/laws/show/z0087-16" TargetMode="External" /><Relationship Id="R9" Type="http://schemas.openxmlformats.org/officeDocument/2006/relationships/hyperlink" Target="https://zakon.rada.gov.ua/laws/show/z0087-16" TargetMode="External" /><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513d-dea7-4c76-b874-559115807b4f}">
  <ds:schemaRefs>
    <ds:schemaRef ds:uri="http://schemas.microsoft.com/vsto/samples"/>
  </ds:schemaRefs>
</ds:datastoreItem>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РОШКОВИЧ Олеся Василівна</dc:creator>
  <dcterms:created xsi:type="dcterms:W3CDTF">2025-10-24T07:04:00Z</dcterms:created>
  <cp:lastModifiedBy>tech_user</cp:lastModifiedBy>
  <cp:lastPrinted>2025-10-28T08:43:00Z</cp:lastPrinted>
  <dcterms:modified xsi:type="dcterms:W3CDTF">2025-10-28T16:01:51Z</dcterms:modified>
  <cp:revision>45</cp:revision>
  <dc:title>Про затвердження Змін до деяких нормативно-правових актів з бухгалтерського обліку в державному секторі | від 03.02.2025 № 67</dc:title>
</cp:coreProperties>
</file>